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0CB" w:rsidRDefault="00D030CB" w:rsidP="00D030CB">
      <w:pPr>
        <w:spacing w:line="240" w:lineRule="auto"/>
        <w:ind w:left="360"/>
        <w:jc w:val="center"/>
        <w:rPr>
          <w:b/>
          <w:sz w:val="32"/>
          <w:szCs w:val="32"/>
        </w:rPr>
      </w:pPr>
      <w:bookmarkStart w:id="0" w:name="_GoBack"/>
      <w:bookmarkEnd w:id="0"/>
      <w:r w:rsidRPr="0019417C">
        <w:rPr>
          <w:b/>
          <w:sz w:val="32"/>
          <w:szCs w:val="32"/>
        </w:rPr>
        <w:t xml:space="preserve">Observation Checklist for </w:t>
      </w:r>
    </w:p>
    <w:p w:rsidR="00D030CB" w:rsidRPr="00D030CB" w:rsidRDefault="007A27DA" w:rsidP="00D030CB">
      <w:pPr>
        <w:spacing w:line="240" w:lineRule="auto"/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High-</w:t>
      </w:r>
      <w:r w:rsidR="00D929DF">
        <w:rPr>
          <w:b/>
          <w:sz w:val="32"/>
          <w:szCs w:val="32"/>
        </w:rPr>
        <w:t xml:space="preserve">Quality Professional Development </w:t>
      </w:r>
      <w:r w:rsidR="000015CB">
        <w:rPr>
          <w:b/>
          <w:sz w:val="32"/>
          <w:szCs w:val="32"/>
        </w:rPr>
        <w:t>Training</w:t>
      </w:r>
    </w:p>
    <w:p w:rsidR="00D030CB" w:rsidRDefault="00D030CB" w:rsidP="00D030CB">
      <w:pPr>
        <w:spacing w:line="240" w:lineRule="auto"/>
        <w:jc w:val="both"/>
        <w:rPr>
          <w:szCs w:val="24"/>
        </w:rPr>
      </w:pPr>
    </w:p>
    <w:p w:rsidR="00B7029E" w:rsidRDefault="0082772C" w:rsidP="00D030CB">
      <w:pPr>
        <w:spacing w:line="240" w:lineRule="auto"/>
        <w:jc w:val="both"/>
        <w:rPr>
          <w:szCs w:val="24"/>
        </w:rPr>
      </w:pPr>
      <w:r>
        <w:rPr>
          <w:szCs w:val="24"/>
        </w:rPr>
        <w:t xml:space="preserve">The </w:t>
      </w:r>
      <w:r>
        <w:rPr>
          <w:i/>
          <w:iCs/>
          <w:szCs w:val="24"/>
        </w:rPr>
        <w:t>Observation Checklist for High Quality Professional Development</w:t>
      </w:r>
      <w:r>
        <w:rPr>
          <w:szCs w:val="24"/>
        </w:rPr>
        <w:t xml:space="preserve"> </w:t>
      </w:r>
      <w:proofErr w:type="gramStart"/>
      <w:r>
        <w:rPr>
          <w:szCs w:val="24"/>
        </w:rPr>
        <w:t>was designed to be completed</w:t>
      </w:r>
      <w:proofErr w:type="gramEnd"/>
      <w:r>
        <w:rPr>
          <w:szCs w:val="24"/>
        </w:rPr>
        <w:t xml:space="preserve"> by an observer to determine the level of quality </w:t>
      </w:r>
      <w:r w:rsidR="008F0D8E">
        <w:rPr>
          <w:szCs w:val="24"/>
        </w:rPr>
        <w:t>of</w:t>
      </w:r>
      <w:r>
        <w:rPr>
          <w:szCs w:val="24"/>
        </w:rPr>
        <w:t xml:space="preserve"> professional development</w:t>
      </w:r>
      <w:r w:rsidR="008F0D8E">
        <w:rPr>
          <w:szCs w:val="24"/>
        </w:rPr>
        <w:t xml:space="preserve"> training.  It can also be used</w:t>
      </w:r>
      <w:r>
        <w:rPr>
          <w:szCs w:val="24"/>
        </w:rPr>
        <w:t xml:space="preserve"> to provid</w:t>
      </w:r>
      <w:r w:rsidR="008F0D8E">
        <w:rPr>
          <w:szCs w:val="24"/>
        </w:rPr>
        <w:t>e ongoing feedback and coaching to</w:t>
      </w:r>
      <w:r>
        <w:rPr>
          <w:szCs w:val="24"/>
        </w:rPr>
        <w:t xml:space="preserve"> professional development </w:t>
      </w:r>
      <w:r w:rsidR="008F0D8E">
        <w:rPr>
          <w:szCs w:val="24"/>
        </w:rPr>
        <w:t>training provider peers</w:t>
      </w:r>
      <w:r>
        <w:rPr>
          <w:szCs w:val="24"/>
        </w:rPr>
        <w:t>. The tool represents a compilation of research-identified indicators that should be present in high quality professional development. Professional development</w:t>
      </w:r>
      <w:r w:rsidR="0006588A">
        <w:rPr>
          <w:szCs w:val="24"/>
        </w:rPr>
        <w:t xml:space="preserve"> training</w:t>
      </w:r>
      <w:r>
        <w:rPr>
          <w:szCs w:val="24"/>
        </w:rPr>
        <w:t xml:space="preserve"> that includes 80% or more of these indicators can be considered to be of high quality.</w:t>
      </w:r>
    </w:p>
    <w:p w:rsidR="00BC60C3" w:rsidRDefault="00BC60C3" w:rsidP="00D030CB">
      <w:pPr>
        <w:spacing w:line="240" w:lineRule="auto"/>
        <w:jc w:val="both"/>
        <w:rPr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4062A" w:rsidRPr="00F4062A" w:rsidTr="009F018D">
        <w:trPr>
          <w:trHeight w:val="986"/>
        </w:trPr>
        <w:tc>
          <w:tcPr>
            <w:tcW w:w="9576" w:type="dxa"/>
          </w:tcPr>
          <w:p w:rsidR="00F4062A" w:rsidRPr="00F4062A" w:rsidRDefault="00F4062A" w:rsidP="00F4062A">
            <w:pPr>
              <w:spacing w:before="120" w:after="60"/>
              <w:jc w:val="both"/>
              <w:rPr>
                <w:b/>
                <w:sz w:val="28"/>
                <w:szCs w:val="28"/>
              </w:rPr>
            </w:pPr>
            <w:r w:rsidRPr="00F4062A">
              <w:rPr>
                <w:b/>
                <w:sz w:val="28"/>
                <w:szCs w:val="28"/>
              </w:rPr>
              <w:t>Date</w:t>
            </w:r>
            <w:proofErr w:type="gramStart"/>
            <w:r w:rsidRPr="00F4062A">
              <w:rPr>
                <w:b/>
                <w:sz w:val="28"/>
                <w:szCs w:val="28"/>
              </w:rPr>
              <w:t>:_</w:t>
            </w:r>
            <w:proofErr w:type="gramEnd"/>
            <w:r w:rsidRPr="00F4062A">
              <w:rPr>
                <w:b/>
                <w:sz w:val="28"/>
                <w:szCs w:val="28"/>
              </w:rPr>
              <w:t>_____________________Presenter:_______________________________</w:t>
            </w:r>
          </w:p>
          <w:p w:rsidR="00F4062A" w:rsidRPr="00F4062A" w:rsidRDefault="00F4062A" w:rsidP="00F4062A">
            <w:pPr>
              <w:spacing w:before="60" w:after="60"/>
              <w:jc w:val="both"/>
              <w:rPr>
                <w:b/>
                <w:szCs w:val="24"/>
              </w:rPr>
            </w:pPr>
          </w:p>
          <w:p w:rsidR="00F4062A" w:rsidRPr="00F4062A" w:rsidRDefault="00F4062A" w:rsidP="00F4062A">
            <w:pPr>
              <w:spacing w:before="60" w:after="60"/>
              <w:jc w:val="both"/>
              <w:rPr>
                <w:b/>
                <w:sz w:val="28"/>
                <w:szCs w:val="28"/>
              </w:rPr>
            </w:pPr>
            <w:r w:rsidRPr="00F4062A">
              <w:rPr>
                <w:b/>
                <w:sz w:val="28"/>
                <w:szCs w:val="28"/>
              </w:rPr>
              <w:t>Topic</w:t>
            </w:r>
            <w:proofErr w:type="gramStart"/>
            <w:r w:rsidRPr="00F4062A">
              <w:rPr>
                <w:b/>
                <w:sz w:val="28"/>
                <w:szCs w:val="28"/>
              </w:rPr>
              <w:t>:</w:t>
            </w:r>
            <w:r w:rsidRPr="00F4062A">
              <w:rPr>
                <w:sz w:val="28"/>
                <w:szCs w:val="28"/>
              </w:rPr>
              <w:t>_</w:t>
            </w:r>
            <w:proofErr w:type="gramEnd"/>
            <w:r w:rsidRPr="00F4062A">
              <w:rPr>
                <w:sz w:val="28"/>
                <w:szCs w:val="28"/>
              </w:rPr>
              <w:t>____________________________________________________________</w:t>
            </w:r>
          </w:p>
        </w:tc>
      </w:tr>
    </w:tbl>
    <w:p w:rsidR="0082772C" w:rsidRDefault="0082772C" w:rsidP="00B7029E">
      <w:pPr>
        <w:rPr>
          <w:rFonts w:cs="Times New Roman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118"/>
        <w:gridCol w:w="720"/>
        <w:gridCol w:w="720"/>
      </w:tblGrid>
      <w:tr w:rsidR="000576AC" w:rsidRPr="0019417C" w:rsidTr="003E419D">
        <w:trPr>
          <w:tblHeader/>
        </w:trPr>
        <w:tc>
          <w:tcPr>
            <w:tcW w:w="8118" w:type="dxa"/>
            <w:vMerge w:val="restart"/>
            <w:shd w:val="clear" w:color="auto" w:fill="F2F2F2" w:themeFill="background1" w:themeFillShade="F2"/>
          </w:tcPr>
          <w:p w:rsidR="0082772C" w:rsidRPr="0019417C" w:rsidRDefault="004C3189" w:rsidP="009517CF">
            <w:pPr>
              <w:spacing w:before="60"/>
              <w:rPr>
                <w:b/>
              </w:rPr>
            </w:pPr>
            <w:r>
              <w:rPr>
                <w:b/>
              </w:rPr>
              <w:t>The professional d</w:t>
            </w:r>
            <w:r w:rsidR="0082772C">
              <w:rPr>
                <w:b/>
              </w:rPr>
              <w:t>evelopment provider:</w:t>
            </w:r>
          </w:p>
        </w:tc>
        <w:tc>
          <w:tcPr>
            <w:tcW w:w="1440" w:type="dxa"/>
            <w:gridSpan w:val="2"/>
            <w:shd w:val="clear" w:color="auto" w:fill="F2F2F2" w:themeFill="background1" w:themeFillShade="F2"/>
          </w:tcPr>
          <w:p w:rsidR="0082772C" w:rsidRPr="0019417C" w:rsidRDefault="0082772C" w:rsidP="009517CF">
            <w:pPr>
              <w:spacing w:before="60"/>
              <w:jc w:val="center"/>
              <w:rPr>
                <w:b/>
              </w:rPr>
            </w:pPr>
            <w:r w:rsidRPr="0019417C">
              <w:rPr>
                <w:b/>
              </w:rPr>
              <w:t>Observed?</w:t>
            </w:r>
          </w:p>
        </w:tc>
      </w:tr>
      <w:tr w:rsidR="00900760" w:rsidRPr="0019417C" w:rsidTr="003E419D">
        <w:trPr>
          <w:tblHeader/>
        </w:trPr>
        <w:tc>
          <w:tcPr>
            <w:tcW w:w="8118" w:type="dxa"/>
            <w:vMerge/>
            <w:shd w:val="clear" w:color="auto" w:fill="F2F2F2" w:themeFill="background1" w:themeFillShade="F2"/>
          </w:tcPr>
          <w:p w:rsidR="0082772C" w:rsidRPr="0019417C" w:rsidRDefault="0082772C" w:rsidP="009517CF">
            <w:pPr>
              <w:rPr>
                <w:b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82772C" w:rsidRPr="0019417C" w:rsidRDefault="0082772C" w:rsidP="009517CF">
            <w:pPr>
              <w:jc w:val="center"/>
              <w:rPr>
                <w:b/>
              </w:rPr>
            </w:pPr>
            <w:r w:rsidRPr="0019417C">
              <w:rPr>
                <w:b/>
              </w:rPr>
              <w:t>Yes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82772C" w:rsidRPr="0019417C" w:rsidRDefault="0082772C" w:rsidP="009517CF">
            <w:pPr>
              <w:jc w:val="center"/>
              <w:rPr>
                <w:b/>
              </w:rPr>
            </w:pPr>
            <w:r w:rsidRPr="0019417C">
              <w:rPr>
                <w:b/>
              </w:rPr>
              <w:t>No</w:t>
            </w:r>
          </w:p>
        </w:tc>
      </w:tr>
      <w:tr w:rsidR="00A0285F" w:rsidRPr="0019417C" w:rsidTr="00A0285F">
        <w:tc>
          <w:tcPr>
            <w:tcW w:w="9558" w:type="dxa"/>
            <w:gridSpan w:val="3"/>
            <w:shd w:val="clear" w:color="auto" w:fill="BFBFBF" w:themeFill="background1" w:themeFillShade="BF"/>
          </w:tcPr>
          <w:p w:rsidR="00A0285F" w:rsidRPr="0019417C" w:rsidRDefault="00A0285F" w:rsidP="00A0285F">
            <w:pPr>
              <w:spacing w:beforeLines="60" w:before="144" w:afterLines="60" w:after="144"/>
              <w:rPr>
                <w:b/>
              </w:rPr>
            </w:pPr>
            <w:r w:rsidRPr="0019417C">
              <w:rPr>
                <w:b/>
              </w:rPr>
              <w:t>Preparation</w:t>
            </w:r>
          </w:p>
        </w:tc>
      </w:tr>
      <w:tr w:rsidR="00900760" w:rsidRPr="0019417C" w:rsidTr="000576AC">
        <w:tc>
          <w:tcPr>
            <w:tcW w:w="8118" w:type="dxa"/>
            <w:shd w:val="clear" w:color="auto" w:fill="auto"/>
          </w:tcPr>
          <w:p w:rsidR="0082772C" w:rsidRPr="0019417C" w:rsidRDefault="0082772C" w:rsidP="00834B04">
            <w:pPr>
              <w:pStyle w:val="ListParagraph"/>
              <w:numPr>
                <w:ilvl w:val="0"/>
                <w:numId w:val="4"/>
              </w:numPr>
              <w:spacing w:beforeLines="60" w:before="144" w:afterLines="60" w:after="144"/>
              <w:ind w:left="270" w:hanging="27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Provides</w:t>
            </w:r>
            <w:r w:rsidRPr="0019417C">
              <w:rPr>
                <w:rFonts w:ascii="Times New Roman" w:hAnsi="Times New Roman" w:cs="Times New Roman"/>
                <w:sz w:val="24"/>
                <w:szCs w:val="24"/>
              </w:rPr>
              <w:t xml:space="preserve"> a description of the training with learning objectives prior 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training</w:t>
            </w:r>
          </w:p>
        </w:tc>
        <w:tc>
          <w:tcPr>
            <w:tcW w:w="720" w:type="dxa"/>
            <w:shd w:val="clear" w:color="auto" w:fill="auto"/>
          </w:tcPr>
          <w:p w:rsidR="0082772C" w:rsidRPr="0019417C" w:rsidRDefault="0082772C" w:rsidP="00834B04">
            <w:pPr>
              <w:spacing w:beforeLines="60" w:before="144" w:afterLines="60" w:after="144"/>
              <w:ind w:left="360"/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:rsidR="0082772C" w:rsidRPr="0019417C" w:rsidRDefault="0082772C" w:rsidP="00834B04">
            <w:pPr>
              <w:spacing w:beforeLines="60" w:before="144" w:afterLines="60" w:after="144"/>
              <w:ind w:left="360"/>
              <w:rPr>
                <w:b/>
              </w:rPr>
            </w:pPr>
          </w:p>
        </w:tc>
      </w:tr>
      <w:tr w:rsidR="00BC60C3" w:rsidRPr="0019417C" w:rsidTr="00BC60C3">
        <w:tc>
          <w:tcPr>
            <w:tcW w:w="9558" w:type="dxa"/>
            <w:gridSpan w:val="3"/>
            <w:shd w:val="clear" w:color="auto" w:fill="auto"/>
          </w:tcPr>
          <w:p w:rsidR="00403540" w:rsidRPr="00834B04" w:rsidRDefault="00403540" w:rsidP="00834B04">
            <w:pPr>
              <w:spacing w:beforeLines="60" w:before="144" w:afterLines="60" w:after="144"/>
              <w:ind w:left="274"/>
              <w:rPr>
                <w:b/>
                <w:sz w:val="20"/>
                <w:szCs w:val="20"/>
              </w:rPr>
            </w:pPr>
            <w:r w:rsidRPr="00403540">
              <w:rPr>
                <w:b/>
                <w:sz w:val="20"/>
                <w:szCs w:val="20"/>
              </w:rPr>
              <w:t>Evidence or example:</w:t>
            </w:r>
          </w:p>
        </w:tc>
      </w:tr>
      <w:tr w:rsidR="00900760" w:rsidRPr="0019417C" w:rsidTr="000576AC">
        <w:tc>
          <w:tcPr>
            <w:tcW w:w="8118" w:type="dxa"/>
            <w:shd w:val="clear" w:color="auto" w:fill="auto"/>
          </w:tcPr>
          <w:p w:rsidR="0082772C" w:rsidRPr="0019417C" w:rsidRDefault="0082772C" w:rsidP="00834B04">
            <w:pPr>
              <w:pStyle w:val="ListParagraph"/>
              <w:numPr>
                <w:ilvl w:val="0"/>
                <w:numId w:val="4"/>
              </w:numPr>
              <w:spacing w:beforeLines="60" w:before="144" w:afterLines="60" w:after="144"/>
              <w:ind w:left="270" w:hanging="27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Provides</w:t>
            </w:r>
            <w:r w:rsidRPr="0019417C">
              <w:rPr>
                <w:rFonts w:ascii="Times New Roman" w:hAnsi="Times New Roman" w:cs="Times New Roman"/>
                <w:sz w:val="24"/>
                <w:szCs w:val="24"/>
              </w:rPr>
              <w:t xml:space="preserve"> readings, activities,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and/</w:t>
            </w:r>
            <w:r w:rsidRPr="0019417C">
              <w:rPr>
                <w:rFonts w:ascii="Times New Roman" w:hAnsi="Times New Roman" w:cs="Times New Roman"/>
                <w:sz w:val="24"/>
                <w:szCs w:val="24"/>
              </w:rPr>
              <w:t xml:space="preserve">or questions to think about prior to the </w:t>
            </w:r>
            <w:r w:rsidR="00D929DF">
              <w:rPr>
                <w:rFonts w:ascii="Times New Roman" w:hAnsi="Times New Roman" w:cs="Times New Roman"/>
                <w:sz w:val="24"/>
                <w:szCs w:val="24"/>
              </w:rPr>
              <w:t>training</w:t>
            </w:r>
          </w:p>
        </w:tc>
        <w:tc>
          <w:tcPr>
            <w:tcW w:w="720" w:type="dxa"/>
            <w:shd w:val="clear" w:color="auto" w:fill="auto"/>
          </w:tcPr>
          <w:p w:rsidR="0082772C" w:rsidRPr="0019417C" w:rsidRDefault="0082772C" w:rsidP="00834B04">
            <w:pPr>
              <w:spacing w:beforeLines="60" w:before="144" w:afterLines="60" w:after="144"/>
              <w:ind w:left="360"/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:rsidR="0082772C" w:rsidRPr="0019417C" w:rsidRDefault="0082772C" w:rsidP="00834B04">
            <w:pPr>
              <w:spacing w:beforeLines="60" w:before="144" w:afterLines="60" w:after="144"/>
              <w:ind w:left="360"/>
              <w:rPr>
                <w:b/>
              </w:rPr>
            </w:pPr>
          </w:p>
        </w:tc>
      </w:tr>
      <w:tr w:rsidR="00BC60C3" w:rsidRPr="0019417C" w:rsidTr="00BC60C3">
        <w:tc>
          <w:tcPr>
            <w:tcW w:w="9558" w:type="dxa"/>
            <w:gridSpan w:val="3"/>
            <w:shd w:val="clear" w:color="auto" w:fill="auto"/>
          </w:tcPr>
          <w:p w:rsidR="00403540" w:rsidRPr="00834B04" w:rsidRDefault="00403540" w:rsidP="00834B04">
            <w:pPr>
              <w:spacing w:beforeLines="60" w:before="144" w:afterLines="60" w:after="144"/>
              <w:ind w:left="274"/>
              <w:rPr>
                <w:b/>
                <w:sz w:val="20"/>
                <w:szCs w:val="20"/>
              </w:rPr>
            </w:pPr>
            <w:r w:rsidRPr="00403540">
              <w:rPr>
                <w:b/>
                <w:sz w:val="20"/>
                <w:szCs w:val="20"/>
              </w:rPr>
              <w:t>Evidence or example:</w:t>
            </w:r>
          </w:p>
        </w:tc>
      </w:tr>
      <w:tr w:rsidR="00A0285F" w:rsidRPr="0019417C" w:rsidTr="00A0285F">
        <w:tc>
          <w:tcPr>
            <w:tcW w:w="9558" w:type="dxa"/>
            <w:gridSpan w:val="3"/>
            <w:shd w:val="clear" w:color="auto" w:fill="BFBFBF" w:themeFill="background1" w:themeFillShade="BF"/>
          </w:tcPr>
          <w:p w:rsidR="00A0285F" w:rsidRPr="0019417C" w:rsidRDefault="00A0285F" w:rsidP="00A0285F">
            <w:pPr>
              <w:spacing w:beforeLines="60" w:before="144" w:afterLines="60" w:after="144"/>
              <w:rPr>
                <w:b/>
              </w:rPr>
            </w:pPr>
            <w:r w:rsidRPr="0019417C">
              <w:rPr>
                <w:b/>
              </w:rPr>
              <w:t>Introduction</w:t>
            </w:r>
          </w:p>
        </w:tc>
      </w:tr>
      <w:tr w:rsidR="00900760" w:rsidRPr="0019417C" w:rsidTr="000576AC">
        <w:tc>
          <w:tcPr>
            <w:tcW w:w="8118" w:type="dxa"/>
          </w:tcPr>
          <w:p w:rsidR="0082772C" w:rsidRPr="0019417C" w:rsidRDefault="00B52FB1" w:rsidP="00834B04">
            <w:pPr>
              <w:pStyle w:val="ListParagraph"/>
              <w:numPr>
                <w:ilvl w:val="0"/>
                <w:numId w:val="4"/>
              </w:numPr>
              <w:spacing w:beforeLines="60" w:before="144" w:afterLines="60" w:after="144"/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Provides</w:t>
            </w:r>
            <w:r w:rsidRPr="00194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 agenda before or at</w:t>
            </w:r>
            <w:r w:rsidRPr="0019417C">
              <w:rPr>
                <w:rFonts w:ascii="Times New Roman" w:hAnsi="Times New Roman" w:cs="Times New Roman"/>
                <w:sz w:val="24"/>
                <w:szCs w:val="24"/>
              </w:rPr>
              <w:t xml:space="preserve"> the beginning of 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training</w:t>
            </w:r>
            <w:r w:rsidRPr="00194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</w:tcPr>
          <w:p w:rsidR="0082772C" w:rsidRPr="0019417C" w:rsidRDefault="0082772C" w:rsidP="00834B04">
            <w:pPr>
              <w:spacing w:beforeLines="60" w:before="144" w:afterLines="60" w:after="144"/>
              <w:ind w:left="360"/>
              <w:rPr>
                <w:rFonts w:cs="Times New Roman"/>
                <w:szCs w:val="24"/>
              </w:rPr>
            </w:pPr>
          </w:p>
        </w:tc>
        <w:tc>
          <w:tcPr>
            <w:tcW w:w="720" w:type="dxa"/>
          </w:tcPr>
          <w:p w:rsidR="0082772C" w:rsidRPr="0019417C" w:rsidRDefault="0082772C" w:rsidP="00834B04">
            <w:pPr>
              <w:spacing w:beforeLines="60" w:before="144" w:afterLines="60" w:after="144"/>
              <w:ind w:left="360"/>
              <w:rPr>
                <w:rFonts w:cs="Times New Roman"/>
                <w:szCs w:val="24"/>
              </w:rPr>
            </w:pPr>
          </w:p>
        </w:tc>
      </w:tr>
      <w:tr w:rsidR="00BC60C3" w:rsidRPr="0019417C" w:rsidTr="00BC60C3">
        <w:tc>
          <w:tcPr>
            <w:tcW w:w="9558" w:type="dxa"/>
            <w:gridSpan w:val="3"/>
          </w:tcPr>
          <w:p w:rsidR="00403540" w:rsidRPr="00834B04" w:rsidRDefault="00403540" w:rsidP="00834B04">
            <w:pPr>
              <w:spacing w:beforeLines="60" w:before="144" w:afterLines="60" w:after="144"/>
              <w:ind w:left="274"/>
              <w:rPr>
                <w:b/>
                <w:sz w:val="20"/>
                <w:szCs w:val="20"/>
              </w:rPr>
            </w:pPr>
            <w:r w:rsidRPr="00403540">
              <w:rPr>
                <w:b/>
                <w:sz w:val="20"/>
                <w:szCs w:val="20"/>
              </w:rPr>
              <w:t>Evidence or example:</w:t>
            </w:r>
          </w:p>
        </w:tc>
      </w:tr>
      <w:tr w:rsidR="00A550A5" w:rsidRPr="00E1379B" w:rsidTr="000576AC">
        <w:tc>
          <w:tcPr>
            <w:tcW w:w="8118" w:type="dxa"/>
          </w:tcPr>
          <w:p w:rsidR="00A550A5" w:rsidRPr="00E1379B" w:rsidRDefault="00A550A5" w:rsidP="00834B04">
            <w:pPr>
              <w:pStyle w:val="ListParagraph"/>
              <w:numPr>
                <w:ilvl w:val="0"/>
                <w:numId w:val="4"/>
              </w:numPr>
              <w:spacing w:beforeLines="60" w:before="144" w:afterLines="60" w:after="144"/>
              <w:ind w:left="270" w:hanging="270"/>
              <w:rPr>
                <w:rFonts w:ascii="Times New Roman" w:hAnsi="Times New Roman"/>
                <w:b/>
                <w:sz w:val="20"/>
                <w:szCs w:val="20"/>
              </w:rPr>
            </w:pPr>
            <w:r w:rsidRPr="00834B04">
              <w:rPr>
                <w:rFonts w:ascii="Times New Roman" w:hAnsi="Times New Roman" w:cs="Times New Roman"/>
                <w:sz w:val="24"/>
                <w:szCs w:val="24"/>
              </w:rPr>
              <w:t>Connects content to participants’ context (e.g., community, school, district)</w:t>
            </w:r>
          </w:p>
        </w:tc>
        <w:tc>
          <w:tcPr>
            <w:tcW w:w="720" w:type="dxa"/>
          </w:tcPr>
          <w:p w:rsidR="00A550A5" w:rsidRPr="00E1379B" w:rsidRDefault="00A550A5" w:rsidP="00834B04">
            <w:pPr>
              <w:spacing w:beforeLines="60" w:before="144" w:afterLines="60" w:after="144"/>
              <w:ind w:left="274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A550A5" w:rsidRPr="00E1379B" w:rsidRDefault="00A550A5" w:rsidP="00834B04">
            <w:pPr>
              <w:spacing w:beforeLines="60" w:before="144" w:afterLines="60" w:after="144"/>
              <w:ind w:left="274"/>
              <w:rPr>
                <w:b/>
                <w:sz w:val="20"/>
                <w:szCs w:val="20"/>
              </w:rPr>
            </w:pPr>
          </w:p>
        </w:tc>
      </w:tr>
      <w:tr w:rsidR="00BC60C3" w:rsidRPr="0019417C" w:rsidTr="00BC60C3">
        <w:tc>
          <w:tcPr>
            <w:tcW w:w="9558" w:type="dxa"/>
            <w:gridSpan w:val="3"/>
          </w:tcPr>
          <w:p w:rsidR="00403540" w:rsidRPr="00834B04" w:rsidRDefault="00403540" w:rsidP="00834B04">
            <w:pPr>
              <w:spacing w:beforeLines="60" w:before="144" w:afterLines="60" w:after="144"/>
              <w:ind w:left="274"/>
              <w:rPr>
                <w:b/>
                <w:sz w:val="20"/>
                <w:szCs w:val="20"/>
              </w:rPr>
            </w:pPr>
            <w:r w:rsidRPr="00403540">
              <w:rPr>
                <w:b/>
                <w:sz w:val="20"/>
                <w:szCs w:val="20"/>
              </w:rPr>
              <w:t>Evidence or example:</w:t>
            </w:r>
          </w:p>
        </w:tc>
      </w:tr>
      <w:tr w:rsidR="00900760" w:rsidRPr="0019417C" w:rsidTr="000576AC">
        <w:tc>
          <w:tcPr>
            <w:tcW w:w="8118" w:type="dxa"/>
          </w:tcPr>
          <w:p w:rsidR="0082772C" w:rsidRPr="0019417C" w:rsidRDefault="00A550A5" w:rsidP="00834B04">
            <w:pPr>
              <w:pStyle w:val="ListParagraph"/>
              <w:numPr>
                <w:ilvl w:val="0"/>
                <w:numId w:val="4"/>
              </w:numPr>
              <w:spacing w:beforeLines="60" w:before="144" w:afterLines="60" w:after="144"/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Includes</w:t>
            </w:r>
            <w:r w:rsidR="00633098">
              <w:rPr>
                <w:rFonts w:ascii="Times New Roman" w:hAnsi="Times New Roman" w:cs="Times New Roman"/>
                <w:sz w:val="24"/>
                <w:szCs w:val="24"/>
              </w:rPr>
              <w:t xml:space="preserve"> 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empirical </w:t>
            </w:r>
            <w:r w:rsidR="00633098">
              <w:rPr>
                <w:rFonts w:ascii="Times New Roman" w:hAnsi="Times New Roman" w:cs="Times New Roman"/>
                <w:sz w:val="24"/>
                <w:szCs w:val="24"/>
              </w:rPr>
              <w:t xml:space="preserve">research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foundation of the content (e.g., citations, verbal references to research literature, key researchers)</w:t>
            </w:r>
          </w:p>
        </w:tc>
        <w:tc>
          <w:tcPr>
            <w:tcW w:w="720" w:type="dxa"/>
          </w:tcPr>
          <w:p w:rsidR="0082772C" w:rsidRPr="0019417C" w:rsidRDefault="0082772C" w:rsidP="00834B04">
            <w:pPr>
              <w:spacing w:beforeLines="60" w:before="144" w:afterLines="60" w:after="144"/>
              <w:ind w:left="360"/>
              <w:rPr>
                <w:rFonts w:cs="Times New Roman"/>
                <w:szCs w:val="24"/>
              </w:rPr>
            </w:pPr>
          </w:p>
        </w:tc>
        <w:tc>
          <w:tcPr>
            <w:tcW w:w="720" w:type="dxa"/>
          </w:tcPr>
          <w:p w:rsidR="0082772C" w:rsidRPr="0019417C" w:rsidRDefault="0082772C" w:rsidP="00834B04">
            <w:pPr>
              <w:spacing w:beforeLines="60" w:before="144" w:afterLines="60" w:after="144"/>
              <w:ind w:left="360"/>
              <w:rPr>
                <w:rFonts w:cs="Times New Roman"/>
                <w:szCs w:val="24"/>
              </w:rPr>
            </w:pPr>
          </w:p>
        </w:tc>
      </w:tr>
      <w:tr w:rsidR="00BC60C3" w:rsidRPr="0019417C" w:rsidTr="00BC60C3">
        <w:tc>
          <w:tcPr>
            <w:tcW w:w="9558" w:type="dxa"/>
            <w:gridSpan w:val="3"/>
          </w:tcPr>
          <w:p w:rsidR="00403540" w:rsidRPr="00834B04" w:rsidRDefault="00834B04" w:rsidP="00834B04">
            <w:pPr>
              <w:spacing w:beforeLines="60" w:before="144" w:afterLines="60" w:after="144"/>
              <w:ind w:left="27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Evidence or example:</w:t>
            </w:r>
          </w:p>
        </w:tc>
      </w:tr>
      <w:tr w:rsidR="00900760" w:rsidRPr="0019417C" w:rsidTr="000576AC">
        <w:tc>
          <w:tcPr>
            <w:tcW w:w="8118" w:type="dxa"/>
          </w:tcPr>
          <w:p w:rsidR="0082772C" w:rsidRPr="0019417C" w:rsidRDefault="00B52FB1" w:rsidP="00E85BD7">
            <w:pPr>
              <w:pStyle w:val="ListParagraph"/>
              <w:keepNext/>
              <w:numPr>
                <w:ilvl w:val="0"/>
                <w:numId w:val="4"/>
              </w:numPr>
              <w:spacing w:beforeLines="60" w:before="144" w:afterLines="60" w:after="144"/>
              <w:ind w:left="274" w:hanging="274"/>
              <w:rPr>
                <w:rFonts w:ascii="Times New Roman" w:hAnsi="Times New Roman" w:cs="Times New Roman"/>
                <w:sz w:val="24"/>
                <w:szCs w:val="24"/>
              </w:rPr>
            </w:pPr>
            <w:r w:rsidRPr="001941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Engages 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participant</w:t>
            </w:r>
            <w:r w:rsidRPr="0019417C">
              <w:rPr>
                <w:rFonts w:ascii="Times New Roman" w:hAnsi="Times New Roman" w:cs="Times New Roman"/>
                <w:sz w:val="24"/>
                <w:szCs w:val="24"/>
              </w:rPr>
              <w:t xml:space="preserve"> in a preview of the content (e.g., material, knowledge</w:t>
            </w:r>
            <w:proofErr w:type="gramStart"/>
            <w:r w:rsidR="00EF4D4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9417C">
              <w:rPr>
                <w:rFonts w:ascii="Times New Roman" w:hAnsi="Times New Roman" w:cs="Times New Roman"/>
                <w:sz w:val="24"/>
                <w:szCs w:val="24"/>
              </w:rPr>
              <w:t xml:space="preserve"> practice</w:t>
            </w:r>
            <w:proofErr w:type="gramEnd"/>
            <w:r w:rsidRPr="001941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20" w:type="dxa"/>
          </w:tcPr>
          <w:p w:rsidR="0082772C" w:rsidRPr="0019417C" w:rsidRDefault="0082772C" w:rsidP="00834B04">
            <w:pPr>
              <w:spacing w:beforeLines="60" w:before="144" w:afterLines="60" w:after="144"/>
              <w:ind w:left="360"/>
              <w:rPr>
                <w:rFonts w:cs="Times New Roman"/>
                <w:szCs w:val="24"/>
              </w:rPr>
            </w:pPr>
          </w:p>
        </w:tc>
        <w:tc>
          <w:tcPr>
            <w:tcW w:w="720" w:type="dxa"/>
          </w:tcPr>
          <w:p w:rsidR="0082772C" w:rsidRPr="0019417C" w:rsidRDefault="0082772C" w:rsidP="00834B04">
            <w:pPr>
              <w:spacing w:beforeLines="60" w:before="144" w:afterLines="60" w:after="144"/>
              <w:ind w:left="360"/>
              <w:rPr>
                <w:rFonts w:cs="Times New Roman"/>
                <w:szCs w:val="24"/>
              </w:rPr>
            </w:pPr>
          </w:p>
        </w:tc>
      </w:tr>
      <w:tr w:rsidR="00BC60C3" w:rsidRPr="0019417C" w:rsidTr="00BC60C3">
        <w:tc>
          <w:tcPr>
            <w:tcW w:w="9558" w:type="dxa"/>
            <w:gridSpan w:val="3"/>
          </w:tcPr>
          <w:p w:rsidR="00403540" w:rsidRPr="00834B04" w:rsidRDefault="00403540" w:rsidP="00834B04">
            <w:pPr>
              <w:spacing w:beforeLines="60" w:before="144" w:afterLines="60" w:after="144"/>
              <w:ind w:left="274"/>
              <w:rPr>
                <w:b/>
                <w:sz w:val="20"/>
                <w:szCs w:val="20"/>
              </w:rPr>
            </w:pPr>
            <w:r w:rsidRPr="00403540">
              <w:rPr>
                <w:b/>
                <w:sz w:val="20"/>
                <w:szCs w:val="20"/>
              </w:rPr>
              <w:t>Evidence or example:</w:t>
            </w:r>
          </w:p>
        </w:tc>
      </w:tr>
      <w:tr w:rsidR="00900760" w:rsidRPr="0019417C" w:rsidTr="000576AC">
        <w:tc>
          <w:tcPr>
            <w:tcW w:w="8118" w:type="dxa"/>
          </w:tcPr>
          <w:p w:rsidR="0082772C" w:rsidRPr="0019417C" w:rsidRDefault="0082772C" w:rsidP="00834B04">
            <w:pPr>
              <w:pStyle w:val="ListParagraph"/>
              <w:numPr>
                <w:ilvl w:val="0"/>
                <w:numId w:val="4"/>
              </w:numPr>
              <w:spacing w:beforeLines="60" w:before="144" w:afterLines="60" w:after="144"/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19417C">
              <w:rPr>
                <w:rFonts w:ascii="Times New Roman" w:hAnsi="Times New Roman" w:cs="Times New Roman"/>
                <w:sz w:val="24"/>
                <w:szCs w:val="24"/>
              </w:rPr>
              <w:t xml:space="preserve">Builds on or relates to </w:t>
            </w:r>
            <w:r w:rsidR="00FE18A0">
              <w:rPr>
                <w:rFonts w:ascii="Times New Roman" w:hAnsi="Times New Roman" w:cs="Times New Roman"/>
                <w:sz w:val="24"/>
                <w:szCs w:val="24"/>
              </w:rPr>
              <w:t>participants’</w:t>
            </w:r>
            <w:r w:rsidRPr="0019417C">
              <w:rPr>
                <w:rFonts w:ascii="Times New Roman" w:hAnsi="Times New Roman" w:cs="Times New Roman"/>
                <w:sz w:val="24"/>
                <w:szCs w:val="24"/>
              </w:rPr>
              <w:t xml:space="preserve"> previous professional development </w:t>
            </w:r>
          </w:p>
        </w:tc>
        <w:tc>
          <w:tcPr>
            <w:tcW w:w="720" w:type="dxa"/>
          </w:tcPr>
          <w:p w:rsidR="0082772C" w:rsidRPr="0019417C" w:rsidRDefault="0082772C" w:rsidP="00834B04">
            <w:pPr>
              <w:spacing w:beforeLines="60" w:before="144" w:afterLines="60" w:after="144"/>
              <w:ind w:left="360"/>
              <w:rPr>
                <w:rFonts w:cs="Times New Roman"/>
                <w:szCs w:val="24"/>
              </w:rPr>
            </w:pPr>
          </w:p>
        </w:tc>
        <w:tc>
          <w:tcPr>
            <w:tcW w:w="720" w:type="dxa"/>
          </w:tcPr>
          <w:p w:rsidR="0082772C" w:rsidRPr="0019417C" w:rsidRDefault="0082772C" w:rsidP="00834B04">
            <w:pPr>
              <w:spacing w:beforeLines="60" w:before="144" w:afterLines="60" w:after="144"/>
              <w:ind w:left="360"/>
              <w:rPr>
                <w:rFonts w:cs="Times New Roman"/>
                <w:szCs w:val="24"/>
              </w:rPr>
            </w:pPr>
          </w:p>
        </w:tc>
      </w:tr>
      <w:tr w:rsidR="00BC60C3" w:rsidRPr="0019417C" w:rsidTr="00BC60C3">
        <w:tc>
          <w:tcPr>
            <w:tcW w:w="9558" w:type="dxa"/>
            <w:gridSpan w:val="3"/>
          </w:tcPr>
          <w:p w:rsidR="00403540" w:rsidRPr="00834B04" w:rsidRDefault="00834B04" w:rsidP="00834B04">
            <w:pPr>
              <w:spacing w:beforeLines="60" w:before="144" w:afterLines="60" w:after="144"/>
              <w:ind w:left="27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Evidence or example:</w:t>
            </w:r>
          </w:p>
        </w:tc>
      </w:tr>
      <w:tr w:rsidR="00900760" w:rsidRPr="0019417C" w:rsidTr="000576AC">
        <w:tc>
          <w:tcPr>
            <w:tcW w:w="8118" w:type="dxa"/>
          </w:tcPr>
          <w:p w:rsidR="0082772C" w:rsidRPr="0019417C" w:rsidRDefault="00BA5009" w:rsidP="00834B04">
            <w:pPr>
              <w:pStyle w:val="ListParagraph"/>
              <w:numPr>
                <w:ilvl w:val="0"/>
                <w:numId w:val="4"/>
              </w:numPr>
              <w:spacing w:beforeLines="60" w:before="144" w:afterLines="60" w:after="144"/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Aligns with school/district/state standards or goals</w:t>
            </w:r>
          </w:p>
        </w:tc>
        <w:tc>
          <w:tcPr>
            <w:tcW w:w="720" w:type="dxa"/>
          </w:tcPr>
          <w:p w:rsidR="0082772C" w:rsidRPr="0019417C" w:rsidRDefault="0082772C" w:rsidP="00834B04">
            <w:pPr>
              <w:spacing w:beforeLines="60" w:before="144" w:afterLines="60" w:after="144"/>
              <w:ind w:left="360"/>
              <w:rPr>
                <w:rFonts w:cs="Times New Roman"/>
                <w:szCs w:val="24"/>
              </w:rPr>
            </w:pPr>
          </w:p>
        </w:tc>
        <w:tc>
          <w:tcPr>
            <w:tcW w:w="720" w:type="dxa"/>
          </w:tcPr>
          <w:p w:rsidR="0082772C" w:rsidRPr="0019417C" w:rsidRDefault="0082772C" w:rsidP="00834B04">
            <w:pPr>
              <w:spacing w:beforeLines="60" w:before="144" w:afterLines="60" w:after="144"/>
              <w:ind w:left="360"/>
              <w:rPr>
                <w:rFonts w:cs="Times New Roman"/>
                <w:szCs w:val="24"/>
              </w:rPr>
            </w:pPr>
          </w:p>
        </w:tc>
      </w:tr>
      <w:tr w:rsidR="00BC60C3" w:rsidRPr="0019417C" w:rsidTr="00BC60C3">
        <w:tc>
          <w:tcPr>
            <w:tcW w:w="9558" w:type="dxa"/>
            <w:gridSpan w:val="3"/>
          </w:tcPr>
          <w:p w:rsidR="00403540" w:rsidRPr="00834B04" w:rsidRDefault="00403540" w:rsidP="00834B04">
            <w:pPr>
              <w:spacing w:beforeLines="60" w:before="144" w:afterLines="60" w:after="144"/>
              <w:ind w:left="274"/>
              <w:rPr>
                <w:b/>
                <w:sz w:val="20"/>
                <w:szCs w:val="20"/>
              </w:rPr>
            </w:pPr>
            <w:r w:rsidRPr="00403540">
              <w:rPr>
                <w:b/>
                <w:sz w:val="20"/>
                <w:szCs w:val="20"/>
              </w:rPr>
              <w:t>Evidence or example:</w:t>
            </w:r>
          </w:p>
        </w:tc>
      </w:tr>
      <w:tr w:rsidR="00900760" w:rsidRPr="0019417C" w:rsidTr="000576AC">
        <w:tc>
          <w:tcPr>
            <w:tcW w:w="8118" w:type="dxa"/>
          </w:tcPr>
          <w:p w:rsidR="0082772C" w:rsidRPr="0019417C" w:rsidRDefault="0082772C" w:rsidP="00834B04">
            <w:pPr>
              <w:pStyle w:val="ListParagraph"/>
              <w:numPr>
                <w:ilvl w:val="0"/>
                <w:numId w:val="4"/>
              </w:numPr>
              <w:spacing w:beforeLines="60" w:before="144" w:afterLines="60" w:after="144"/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19417C">
              <w:rPr>
                <w:rFonts w:ascii="Times New Roman" w:hAnsi="Times New Roman" w:cs="Times New Roman"/>
                <w:sz w:val="24"/>
                <w:szCs w:val="24"/>
              </w:rPr>
              <w:t>Emphasizes improving student learning outcomes</w:t>
            </w:r>
          </w:p>
        </w:tc>
        <w:tc>
          <w:tcPr>
            <w:tcW w:w="720" w:type="dxa"/>
          </w:tcPr>
          <w:p w:rsidR="0082772C" w:rsidRPr="0019417C" w:rsidRDefault="0082772C" w:rsidP="00834B04">
            <w:pPr>
              <w:spacing w:beforeLines="60" w:before="144" w:afterLines="60" w:after="144"/>
              <w:ind w:left="360"/>
              <w:rPr>
                <w:rFonts w:cs="Times New Roman"/>
                <w:szCs w:val="24"/>
              </w:rPr>
            </w:pPr>
          </w:p>
        </w:tc>
        <w:tc>
          <w:tcPr>
            <w:tcW w:w="720" w:type="dxa"/>
          </w:tcPr>
          <w:p w:rsidR="0082772C" w:rsidRPr="0019417C" w:rsidRDefault="0082772C" w:rsidP="00834B04">
            <w:pPr>
              <w:spacing w:beforeLines="60" w:before="144" w:afterLines="60" w:after="144"/>
              <w:ind w:left="360"/>
              <w:rPr>
                <w:rFonts w:cs="Times New Roman"/>
                <w:szCs w:val="24"/>
              </w:rPr>
            </w:pPr>
          </w:p>
        </w:tc>
      </w:tr>
      <w:tr w:rsidR="00BC60C3" w:rsidRPr="0019417C" w:rsidTr="00BC60C3">
        <w:tc>
          <w:tcPr>
            <w:tcW w:w="9558" w:type="dxa"/>
            <w:gridSpan w:val="3"/>
          </w:tcPr>
          <w:p w:rsidR="00403540" w:rsidRPr="00834B04" w:rsidRDefault="00403540" w:rsidP="00834B04">
            <w:pPr>
              <w:spacing w:beforeLines="60" w:before="144" w:afterLines="60" w:after="144"/>
              <w:ind w:left="274"/>
              <w:rPr>
                <w:b/>
                <w:sz w:val="20"/>
                <w:szCs w:val="20"/>
              </w:rPr>
            </w:pPr>
            <w:r w:rsidRPr="00403540">
              <w:rPr>
                <w:b/>
                <w:sz w:val="20"/>
                <w:szCs w:val="20"/>
              </w:rPr>
              <w:t>Evidence or example:</w:t>
            </w:r>
          </w:p>
        </w:tc>
      </w:tr>
      <w:tr w:rsidR="00A0285F" w:rsidRPr="0019417C" w:rsidTr="00A0285F">
        <w:tc>
          <w:tcPr>
            <w:tcW w:w="9558" w:type="dxa"/>
            <w:gridSpan w:val="3"/>
            <w:shd w:val="clear" w:color="auto" w:fill="BFBFBF" w:themeFill="background1" w:themeFillShade="BF"/>
          </w:tcPr>
          <w:p w:rsidR="00A0285F" w:rsidRPr="0019417C" w:rsidRDefault="00A0285F" w:rsidP="00A0285F">
            <w:pPr>
              <w:spacing w:beforeLines="60" w:before="144" w:afterLines="60" w:after="144"/>
              <w:rPr>
                <w:b/>
              </w:rPr>
            </w:pPr>
            <w:r w:rsidRPr="0019417C">
              <w:rPr>
                <w:b/>
              </w:rPr>
              <w:t>Demonstration</w:t>
            </w:r>
          </w:p>
        </w:tc>
      </w:tr>
      <w:tr w:rsidR="00900760" w:rsidRPr="0019417C" w:rsidTr="000576AC">
        <w:tc>
          <w:tcPr>
            <w:tcW w:w="8118" w:type="dxa"/>
          </w:tcPr>
          <w:p w:rsidR="0082772C" w:rsidRPr="0019417C" w:rsidRDefault="00C96BAC" w:rsidP="00834B04">
            <w:pPr>
              <w:pStyle w:val="ListParagraph"/>
              <w:numPr>
                <w:ilvl w:val="0"/>
                <w:numId w:val="4"/>
              </w:numPr>
              <w:spacing w:beforeLines="60" w:before="144" w:afterLines="60" w:after="14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9417C">
              <w:rPr>
                <w:rFonts w:ascii="Times New Roman" w:hAnsi="Times New Roman" w:cs="Times New Roman"/>
                <w:sz w:val="24"/>
                <w:szCs w:val="24"/>
              </w:rPr>
              <w:t xml:space="preserve">Builds shared vocabulary required to implement and sustain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the practice</w:t>
            </w:r>
            <w:r w:rsidRPr="00194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</w:tcPr>
          <w:p w:rsidR="0082772C" w:rsidRPr="0019417C" w:rsidRDefault="0082772C" w:rsidP="00834B04">
            <w:pPr>
              <w:spacing w:beforeLines="60" w:before="144" w:afterLines="60" w:after="144"/>
              <w:ind w:left="360"/>
              <w:rPr>
                <w:rFonts w:cs="Times New Roman"/>
                <w:szCs w:val="24"/>
              </w:rPr>
            </w:pPr>
          </w:p>
        </w:tc>
        <w:tc>
          <w:tcPr>
            <w:tcW w:w="720" w:type="dxa"/>
          </w:tcPr>
          <w:p w:rsidR="0082772C" w:rsidRPr="0019417C" w:rsidRDefault="0082772C" w:rsidP="00834B04">
            <w:pPr>
              <w:spacing w:beforeLines="60" w:before="144" w:afterLines="60" w:after="144"/>
              <w:ind w:left="360"/>
              <w:rPr>
                <w:rFonts w:cs="Times New Roman"/>
                <w:szCs w:val="24"/>
              </w:rPr>
            </w:pPr>
          </w:p>
        </w:tc>
      </w:tr>
      <w:tr w:rsidR="00BC60C3" w:rsidRPr="0019417C" w:rsidTr="00BC60C3">
        <w:tc>
          <w:tcPr>
            <w:tcW w:w="9558" w:type="dxa"/>
            <w:gridSpan w:val="3"/>
          </w:tcPr>
          <w:p w:rsidR="00403540" w:rsidRPr="00834B04" w:rsidRDefault="00403540" w:rsidP="00834B04">
            <w:pPr>
              <w:spacing w:beforeLines="60" w:before="144" w:afterLines="60" w:after="144"/>
              <w:ind w:left="360"/>
              <w:rPr>
                <w:b/>
                <w:sz w:val="20"/>
                <w:szCs w:val="20"/>
              </w:rPr>
            </w:pPr>
            <w:r w:rsidRPr="00403540">
              <w:rPr>
                <w:b/>
                <w:sz w:val="20"/>
                <w:szCs w:val="20"/>
              </w:rPr>
              <w:t>Evidence or e</w:t>
            </w:r>
            <w:r w:rsidR="00834B04">
              <w:rPr>
                <w:b/>
                <w:sz w:val="20"/>
                <w:szCs w:val="20"/>
              </w:rPr>
              <w:t>xample:</w:t>
            </w:r>
          </w:p>
        </w:tc>
      </w:tr>
      <w:tr w:rsidR="00900760" w:rsidRPr="0019417C" w:rsidTr="000576AC">
        <w:tc>
          <w:tcPr>
            <w:tcW w:w="8118" w:type="dxa"/>
          </w:tcPr>
          <w:p w:rsidR="0082772C" w:rsidRPr="0019417C" w:rsidRDefault="0082772C" w:rsidP="00834B04">
            <w:pPr>
              <w:pStyle w:val="ListParagraph"/>
              <w:numPr>
                <w:ilvl w:val="0"/>
                <w:numId w:val="4"/>
              </w:numPr>
              <w:spacing w:beforeLines="60" w:before="144" w:afterLines="60" w:after="14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9417C">
              <w:rPr>
                <w:rFonts w:ascii="Times New Roman" w:hAnsi="Times New Roman" w:cs="Times New Roman"/>
                <w:sz w:val="24"/>
                <w:szCs w:val="24"/>
              </w:rPr>
              <w:t>Provides examples, demonstrates, or otherwise illustrates the content</w:t>
            </w:r>
            <w:r w:rsidR="00C96BAC">
              <w:rPr>
                <w:rFonts w:ascii="Times New Roman" w:hAnsi="Times New Roman" w:cs="Times New Roman"/>
                <w:sz w:val="24"/>
                <w:szCs w:val="24"/>
              </w:rPr>
              <w:t>/practice</w:t>
            </w:r>
            <w:r w:rsidRPr="00194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</w:tcPr>
          <w:p w:rsidR="0082772C" w:rsidRPr="0019417C" w:rsidRDefault="0082772C" w:rsidP="00834B04">
            <w:pPr>
              <w:spacing w:beforeLines="60" w:before="144" w:afterLines="60" w:after="144"/>
              <w:ind w:left="360"/>
              <w:rPr>
                <w:rFonts w:cs="Times New Roman"/>
                <w:szCs w:val="24"/>
              </w:rPr>
            </w:pPr>
          </w:p>
        </w:tc>
        <w:tc>
          <w:tcPr>
            <w:tcW w:w="720" w:type="dxa"/>
          </w:tcPr>
          <w:p w:rsidR="0082772C" w:rsidRPr="0019417C" w:rsidRDefault="0082772C" w:rsidP="00834B04">
            <w:pPr>
              <w:spacing w:beforeLines="60" w:before="144" w:afterLines="60" w:after="144"/>
              <w:ind w:left="360"/>
              <w:rPr>
                <w:rFonts w:cs="Times New Roman"/>
                <w:szCs w:val="24"/>
              </w:rPr>
            </w:pPr>
          </w:p>
        </w:tc>
      </w:tr>
      <w:tr w:rsidR="00BC60C3" w:rsidRPr="0019417C" w:rsidTr="00BC60C3">
        <w:tc>
          <w:tcPr>
            <w:tcW w:w="9558" w:type="dxa"/>
            <w:gridSpan w:val="3"/>
          </w:tcPr>
          <w:p w:rsidR="00403540" w:rsidRPr="00834B04" w:rsidRDefault="00403540" w:rsidP="00834B04">
            <w:pPr>
              <w:spacing w:beforeLines="60" w:before="144" w:afterLines="60" w:after="144"/>
              <w:ind w:left="360"/>
              <w:rPr>
                <w:b/>
                <w:sz w:val="20"/>
                <w:szCs w:val="20"/>
              </w:rPr>
            </w:pPr>
            <w:r w:rsidRPr="00403540">
              <w:rPr>
                <w:b/>
                <w:sz w:val="20"/>
                <w:szCs w:val="20"/>
              </w:rPr>
              <w:t>Evidence or example:</w:t>
            </w:r>
          </w:p>
        </w:tc>
      </w:tr>
      <w:tr w:rsidR="00900760" w:rsidRPr="0019417C" w:rsidTr="000576AC">
        <w:tc>
          <w:tcPr>
            <w:tcW w:w="8118" w:type="dxa"/>
          </w:tcPr>
          <w:p w:rsidR="0082772C" w:rsidRPr="0019417C" w:rsidRDefault="00C96BAC" w:rsidP="00834B04">
            <w:pPr>
              <w:pStyle w:val="ListParagraph"/>
              <w:numPr>
                <w:ilvl w:val="0"/>
                <w:numId w:val="4"/>
              </w:numPr>
              <w:spacing w:beforeLines="60" w:before="144" w:afterLines="60" w:after="14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9417C">
              <w:rPr>
                <w:rFonts w:ascii="Times New Roman" w:hAnsi="Times New Roman" w:cs="Times New Roman"/>
                <w:sz w:val="24"/>
                <w:szCs w:val="24"/>
              </w:rPr>
              <w:t xml:space="preserve">Illustrates the use or applicability of the material, knowledge or practice for 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participant</w:t>
            </w:r>
          </w:p>
        </w:tc>
        <w:tc>
          <w:tcPr>
            <w:tcW w:w="720" w:type="dxa"/>
          </w:tcPr>
          <w:p w:rsidR="0082772C" w:rsidRPr="0019417C" w:rsidRDefault="0082772C" w:rsidP="00834B04">
            <w:pPr>
              <w:spacing w:beforeLines="60" w:before="144" w:afterLines="60" w:after="144"/>
              <w:ind w:left="360"/>
              <w:rPr>
                <w:rFonts w:cs="Times New Roman"/>
                <w:szCs w:val="24"/>
              </w:rPr>
            </w:pPr>
          </w:p>
        </w:tc>
        <w:tc>
          <w:tcPr>
            <w:tcW w:w="720" w:type="dxa"/>
          </w:tcPr>
          <w:p w:rsidR="0082772C" w:rsidRPr="0019417C" w:rsidRDefault="0082772C" w:rsidP="00834B04">
            <w:pPr>
              <w:spacing w:beforeLines="60" w:before="144" w:afterLines="60" w:after="144"/>
              <w:ind w:left="360"/>
              <w:rPr>
                <w:rFonts w:cs="Times New Roman"/>
                <w:szCs w:val="24"/>
              </w:rPr>
            </w:pPr>
          </w:p>
        </w:tc>
      </w:tr>
      <w:tr w:rsidR="00BC60C3" w:rsidRPr="0019417C" w:rsidTr="00BC60C3">
        <w:tc>
          <w:tcPr>
            <w:tcW w:w="9558" w:type="dxa"/>
            <w:gridSpan w:val="3"/>
          </w:tcPr>
          <w:p w:rsidR="00403540" w:rsidRPr="00834B04" w:rsidRDefault="00403540" w:rsidP="00834B04">
            <w:pPr>
              <w:spacing w:beforeLines="60" w:before="144" w:afterLines="60" w:after="144"/>
              <w:ind w:left="360"/>
              <w:rPr>
                <w:b/>
                <w:sz w:val="20"/>
                <w:szCs w:val="20"/>
              </w:rPr>
            </w:pPr>
            <w:r w:rsidRPr="00403540">
              <w:rPr>
                <w:b/>
                <w:sz w:val="20"/>
                <w:szCs w:val="20"/>
              </w:rPr>
              <w:t>Evidence or example:</w:t>
            </w:r>
          </w:p>
        </w:tc>
      </w:tr>
      <w:tr w:rsidR="00A0285F" w:rsidRPr="0019417C" w:rsidTr="00A0285F">
        <w:tc>
          <w:tcPr>
            <w:tcW w:w="9558" w:type="dxa"/>
            <w:gridSpan w:val="3"/>
            <w:shd w:val="clear" w:color="auto" w:fill="BFBFBF" w:themeFill="background1" w:themeFillShade="BF"/>
          </w:tcPr>
          <w:p w:rsidR="00A0285F" w:rsidRPr="0019417C" w:rsidRDefault="00A0285F" w:rsidP="00A0285F">
            <w:pPr>
              <w:spacing w:beforeLines="60" w:before="144" w:afterLines="60" w:after="144"/>
              <w:rPr>
                <w:b/>
              </w:rPr>
            </w:pPr>
            <w:r w:rsidRPr="0019417C">
              <w:rPr>
                <w:b/>
              </w:rPr>
              <w:t>Engagement</w:t>
            </w:r>
          </w:p>
        </w:tc>
      </w:tr>
      <w:tr w:rsidR="00900760" w:rsidRPr="0019417C" w:rsidTr="000576AC">
        <w:tc>
          <w:tcPr>
            <w:tcW w:w="8118" w:type="dxa"/>
          </w:tcPr>
          <w:p w:rsidR="0082772C" w:rsidRPr="0019417C" w:rsidRDefault="0082772C" w:rsidP="00834B04">
            <w:pPr>
              <w:pStyle w:val="ListParagraph"/>
              <w:numPr>
                <w:ilvl w:val="0"/>
                <w:numId w:val="4"/>
              </w:numPr>
              <w:spacing w:beforeLines="60" w:before="144" w:afterLines="60" w:after="14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9417C">
              <w:rPr>
                <w:rFonts w:ascii="Times New Roman" w:hAnsi="Times New Roman" w:cs="Times New Roman"/>
                <w:sz w:val="24"/>
                <w:szCs w:val="24"/>
              </w:rPr>
              <w:t xml:space="preserve">Includes opportunities </w:t>
            </w:r>
            <w:r w:rsidR="00864163">
              <w:rPr>
                <w:rFonts w:ascii="Times New Roman" w:hAnsi="Times New Roman" w:cs="Times New Roman"/>
                <w:sz w:val="24"/>
                <w:szCs w:val="24"/>
              </w:rPr>
              <w:t xml:space="preserve">for participants </w:t>
            </w:r>
            <w:r w:rsidRPr="0019417C">
              <w:rPr>
                <w:rFonts w:ascii="Times New Roman" w:hAnsi="Times New Roman" w:cs="Times New Roman"/>
                <w:sz w:val="24"/>
                <w:szCs w:val="24"/>
              </w:rPr>
              <w:t>to practice and/or rehearse new skills</w:t>
            </w:r>
          </w:p>
        </w:tc>
        <w:tc>
          <w:tcPr>
            <w:tcW w:w="720" w:type="dxa"/>
          </w:tcPr>
          <w:p w:rsidR="0082772C" w:rsidRPr="0019417C" w:rsidRDefault="0082772C" w:rsidP="00834B04">
            <w:pPr>
              <w:spacing w:beforeLines="60" w:before="144" w:afterLines="60" w:after="144"/>
              <w:ind w:left="360"/>
              <w:rPr>
                <w:rFonts w:cs="Times New Roman"/>
                <w:szCs w:val="24"/>
              </w:rPr>
            </w:pPr>
          </w:p>
        </w:tc>
        <w:tc>
          <w:tcPr>
            <w:tcW w:w="720" w:type="dxa"/>
          </w:tcPr>
          <w:p w:rsidR="0082772C" w:rsidRPr="0019417C" w:rsidRDefault="0082772C" w:rsidP="00834B04">
            <w:pPr>
              <w:spacing w:beforeLines="60" w:before="144" w:afterLines="60" w:after="144"/>
              <w:ind w:left="360"/>
              <w:rPr>
                <w:rFonts w:cs="Times New Roman"/>
                <w:szCs w:val="24"/>
              </w:rPr>
            </w:pPr>
          </w:p>
        </w:tc>
      </w:tr>
      <w:tr w:rsidR="00BC60C3" w:rsidRPr="0019417C" w:rsidTr="00BC60C3">
        <w:tc>
          <w:tcPr>
            <w:tcW w:w="9558" w:type="dxa"/>
            <w:gridSpan w:val="3"/>
          </w:tcPr>
          <w:p w:rsidR="00403540" w:rsidRPr="00834B04" w:rsidRDefault="00834B04" w:rsidP="00834B04">
            <w:pPr>
              <w:spacing w:beforeLines="60" w:before="144" w:afterLines="60" w:after="144"/>
              <w:ind w:left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Evidence or example:</w:t>
            </w:r>
          </w:p>
        </w:tc>
      </w:tr>
      <w:tr w:rsidR="00900760" w:rsidRPr="0019417C" w:rsidTr="000576AC">
        <w:tc>
          <w:tcPr>
            <w:tcW w:w="8118" w:type="dxa"/>
          </w:tcPr>
          <w:p w:rsidR="0082772C" w:rsidRPr="0019417C" w:rsidRDefault="00261366" w:rsidP="00834B04">
            <w:pPr>
              <w:pStyle w:val="ListParagraph"/>
              <w:numPr>
                <w:ilvl w:val="0"/>
                <w:numId w:val="4"/>
              </w:numPr>
              <w:spacing w:beforeLines="60" w:before="144" w:afterLines="60" w:after="14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Includes opportunities</w:t>
            </w:r>
            <w:r w:rsidR="00C96BAC" w:rsidRPr="00261366">
              <w:rPr>
                <w:rFonts w:ascii="Times New Roman" w:hAnsi="Times New Roman" w:cs="Times New Roman"/>
                <w:sz w:val="24"/>
                <w:szCs w:val="24"/>
              </w:rPr>
              <w:t xml:space="preserve"> for participants to</w:t>
            </w:r>
            <w:r w:rsidR="00B430A2" w:rsidRPr="00261366">
              <w:rPr>
                <w:rFonts w:ascii="Times New Roman" w:hAnsi="Times New Roman" w:cs="Times New Roman"/>
                <w:sz w:val="24"/>
                <w:szCs w:val="24"/>
              </w:rPr>
              <w:t xml:space="preserve"> express personal perspectives (e.g., experience, thought</w:t>
            </w:r>
            <w:r w:rsidR="00240123" w:rsidRPr="00261366">
              <w:rPr>
                <w:rFonts w:ascii="Times New Roman" w:hAnsi="Times New Roman" w:cs="Times New Roman"/>
                <w:sz w:val="24"/>
                <w:szCs w:val="24"/>
              </w:rPr>
              <w:t>s on concept</w:t>
            </w:r>
            <w:r w:rsidR="00B430A2" w:rsidRPr="0026136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20" w:type="dxa"/>
          </w:tcPr>
          <w:p w:rsidR="0082772C" w:rsidRPr="0019417C" w:rsidRDefault="0082772C" w:rsidP="00834B04">
            <w:pPr>
              <w:spacing w:beforeLines="60" w:before="144" w:afterLines="60" w:after="144"/>
              <w:ind w:left="360"/>
              <w:rPr>
                <w:rFonts w:cs="Times New Roman"/>
                <w:szCs w:val="24"/>
              </w:rPr>
            </w:pPr>
          </w:p>
        </w:tc>
        <w:tc>
          <w:tcPr>
            <w:tcW w:w="720" w:type="dxa"/>
          </w:tcPr>
          <w:p w:rsidR="0082772C" w:rsidRPr="0019417C" w:rsidRDefault="0082772C" w:rsidP="00834B04">
            <w:pPr>
              <w:spacing w:beforeLines="60" w:before="144" w:afterLines="60" w:after="144"/>
              <w:ind w:left="360"/>
              <w:rPr>
                <w:rFonts w:cs="Times New Roman"/>
                <w:szCs w:val="24"/>
              </w:rPr>
            </w:pPr>
          </w:p>
        </w:tc>
      </w:tr>
      <w:tr w:rsidR="00BC60C3" w:rsidRPr="0019417C" w:rsidTr="00BC60C3">
        <w:tc>
          <w:tcPr>
            <w:tcW w:w="9558" w:type="dxa"/>
            <w:gridSpan w:val="3"/>
          </w:tcPr>
          <w:p w:rsidR="00403540" w:rsidRPr="00834B04" w:rsidRDefault="00834B04" w:rsidP="00834B04">
            <w:pPr>
              <w:spacing w:beforeLines="60" w:before="144" w:afterLines="60" w:after="144"/>
              <w:ind w:left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Evidence or example:</w:t>
            </w:r>
          </w:p>
        </w:tc>
      </w:tr>
      <w:tr w:rsidR="00900760" w:rsidRPr="0019417C" w:rsidTr="000576AC">
        <w:tc>
          <w:tcPr>
            <w:tcW w:w="8118" w:type="dxa"/>
          </w:tcPr>
          <w:p w:rsidR="0082772C" w:rsidRPr="0019417C" w:rsidRDefault="000215EA" w:rsidP="00834B04">
            <w:pPr>
              <w:pStyle w:val="ListParagraph"/>
              <w:numPr>
                <w:ilvl w:val="0"/>
                <w:numId w:val="4"/>
              </w:numPr>
              <w:spacing w:beforeLines="60" w:before="144" w:afterLines="60" w:after="14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Includes opportunities for participants to interact with each other related to training content</w:t>
            </w:r>
          </w:p>
        </w:tc>
        <w:tc>
          <w:tcPr>
            <w:tcW w:w="720" w:type="dxa"/>
          </w:tcPr>
          <w:p w:rsidR="0082772C" w:rsidRPr="0019417C" w:rsidRDefault="0082772C" w:rsidP="00834B04">
            <w:pPr>
              <w:spacing w:beforeLines="60" w:before="144" w:afterLines="60" w:after="144"/>
              <w:ind w:left="360"/>
              <w:rPr>
                <w:rFonts w:cs="Times New Roman"/>
                <w:szCs w:val="24"/>
              </w:rPr>
            </w:pPr>
          </w:p>
        </w:tc>
        <w:tc>
          <w:tcPr>
            <w:tcW w:w="720" w:type="dxa"/>
          </w:tcPr>
          <w:p w:rsidR="0082772C" w:rsidRPr="0019417C" w:rsidRDefault="0082772C" w:rsidP="00834B04">
            <w:pPr>
              <w:spacing w:beforeLines="60" w:before="144" w:afterLines="60" w:after="144"/>
              <w:ind w:left="360"/>
              <w:rPr>
                <w:rFonts w:cs="Times New Roman"/>
                <w:szCs w:val="24"/>
              </w:rPr>
            </w:pPr>
          </w:p>
        </w:tc>
      </w:tr>
      <w:tr w:rsidR="00BC60C3" w:rsidRPr="0019417C" w:rsidTr="00BC60C3">
        <w:tc>
          <w:tcPr>
            <w:tcW w:w="9558" w:type="dxa"/>
            <w:gridSpan w:val="3"/>
          </w:tcPr>
          <w:p w:rsidR="00403540" w:rsidRPr="00834B04" w:rsidRDefault="00403540" w:rsidP="00834B04">
            <w:pPr>
              <w:spacing w:beforeLines="60" w:before="144" w:afterLines="60" w:after="144"/>
              <w:ind w:left="360"/>
              <w:rPr>
                <w:b/>
                <w:sz w:val="20"/>
                <w:szCs w:val="20"/>
              </w:rPr>
            </w:pPr>
            <w:r w:rsidRPr="00403540">
              <w:rPr>
                <w:b/>
                <w:sz w:val="20"/>
                <w:szCs w:val="20"/>
              </w:rPr>
              <w:t>Evidence or example:</w:t>
            </w:r>
          </w:p>
        </w:tc>
      </w:tr>
      <w:tr w:rsidR="005A057C" w:rsidRPr="0019417C" w:rsidTr="000576AC">
        <w:tc>
          <w:tcPr>
            <w:tcW w:w="8118" w:type="dxa"/>
          </w:tcPr>
          <w:p w:rsidR="005A057C" w:rsidRPr="0019417C" w:rsidRDefault="00C96BAC" w:rsidP="00834B04">
            <w:pPr>
              <w:pStyle w:val="ListParagraph"/>
              <w:numPr>
                <w:ilvl w:val="0"/>
                <w:numId w:val="4"/>
              </w:numPr>
              <w:spacing w:beforeLines="60" w:before="144" w:afterLines="60" w:after="14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Adheres to agenda and time constraints </w:t>
            </w:r>
          </w:p>
        </w:tc>
        <w:tc>
          <w:tcPr>
            <w:tcW w:w="720" w:type="dxa"/>
          </w:tcPr>
          <w:p w:rsidR="005A057C" w:rsidRPr="0019417C" w:rsidRDefault="005A057C" w:rsidP="00834B04">
            <w:pPr>
              <w:spacing w:beforeLines="60" w:before="144" w:afterLines="60" w:after="144"/>
              <w:ind w:left="360"/>
              <w:rPr>
                <w:rFonts w:cs="Times New Roman"/>
                <w:szCs w:val="24"/>
              </w:rPr>
            </w:pPr>
          </w:p>
        </w:tc>
        <w:tc>
          <w:tcPr>
            <w:tcW w:w="720" w:type="dxa"/>
          </w:tcPr>
          <w:p w:rsidR="005A057C" w:rsidRPr="0019417C" w:rsidRDefault="005A057C" w:rsidP="00834B04">
            <w:pPr>
              <w:spacing w:beforeLines="60" w:before="144" w:afterLines="60" w:after="144"/>
              <w:ind w:left="360"/>
              <w:rPr>
                <w:rFonts w:cs="Times New Roman"/>
                <w:szCs w:val="24"/>
              </w:rPr>
            </w:pPr>
          </w:p>
        </w:tc>
      </w:tr>
      <w:tr w:rsidR="00BC60C3" w:rsidRPr="0019417C" w:rsidTr="00BC60C3">
        <w:tc>
          <w:tcPr>
            <w:tcW w:w="9558" w:type="dxa"/>
            <w:gridSpan w:val="3"/>
          </w:tcPr>
          <w:p w:rsidR="00403540" w:rsidRPr="00834B04" w:rsidRDefault="00834B04" w:rsidP="00834B04">
            <w:pPr>
              <w:spacing w:beforeLines="60" w:before="144" w:afterLines="60" w:after="144"/>
              <w:ind w:left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Evidence or example:</w:t>
            </w:r>
          </w:p>
        </w:tc>
      </w:tr>
      <w:tr w:rsidR="00A0285F" w:rsidRPr="0019417C" w:rsidTr="00A0285F">
        <w:tc>
          <w:tcPr>
            <w:tcW w:w="9558" w:type="dxa"/>
            <w:gridSpan w:val="3"/>
            <w:shd w:val="clear" w:color="auto" w:fill="BFBFBF" w:themeFill="background1" w:themeFillShade="BF"/>
          </w:tcPr>
          <w:p w:rsidR="00A0285F" w:rsidRPr="0019417C" w:rsidRDefault="00A0285F" w:rsidP="00A0285F">
            <w:pPr>
              <w:spacing w:beforeLines="60" w:before="144" w:afterLines="60" w:after="144"/>
              <w:rPr>
                <w:b/>
              </w:rPr>
            </w:pPr>
            <w:r w:rsidRPr="0019417C">
              <w:rPr>
                <w:b/>
              </w:rPr>
              <w:t>Evaluation</w:t>
            </w:r>
          </w:p>
        </w:tc>
      </w:tr>
      <w:tr w:rsidR="00900760" w:rsidRPr="0019417C" w:rsidTr="000576AC">
        <w:tc>
          <w:tcPr>
            <w:tcW w:w="8118" w:type="dxa"/>
          </w:tcPr>
          <w:p w:rsidR="0082772C" w:rsidRPr="0019417C" w:rsidRDefault="0082772C" w:rsidP="00834B04">
            <w:pPr>
              <w:pStyle w:val="ListParagraph"/>
              <w:numPr>
                <w:ilvl w:val="0"/>
                <w:numId w:val="4"/>
              </w:numPr>
              <w:spacing w:beforeLines="60" w:before="144" w:afterLines="60" w:after="14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9417C">
              <w:rPr>
                <w:rFonts w:ascii="Times New Roman" w:hAnsi="Times New Roman" w:cs="Times New Roman"/>
                <w:sz w:val="24"/>
                <w:szCs w:val="24"/>
              </w:rPr>
              <w:t xml:space="preserve">Includes opportunities for </w:t>
            </w:r>
            <w:r w:rsidR="00BB7C86">
              <w:rPr>
                <w:rFonts w:ascii="Times New Roman" w:hAnsi="Times New Roman" w:cs="Times New Roman"/>
                <w:sz w:val="24"/>
                <w:szCs w:val="24"/>
              </w:rPr>
              <w:t>participants</w:t>
            </w:r>
            <w:r w:rsidRPr="0019417C">
              <w:rPr>
                <w:rFonts w:ascii="Times New Roman" w:hAnsi="Times New Roman" w:cs="Times New Roman"/>
                <w:sz w:val="24"/>
                <w:szCs w:val="24"/>
              </w:rPr>
              <w:t xml:space="preserve"> to reflect on learning</w:t>
            </w:r>
          </w:p>
        </w:tc>
        <w:tc>
          <w:tcPr>
            <w:tcW w:w="720" w:type="dxa"/>
          </w:tcPr>
          <w:p w:rsidR="0082772C" w:rsidRPr="0019417C" w:rsidRDefault="0082772C" w:rsidP="00834B04">
            <w:pPr>
              <w:spacing w:beforeLines="60" w:before="144" w:afterLines="60" w:after="144"/>
              <w:ind w:left="360"/>
              <w:rPr>
                <w:rFonts w:cs="Times New Roman"/>
                <w:szCs w:val="24"/>
              </w:rPr>
            </w:pPr>
          </w:p>
        </w:tc>
        <w:tc>
          <w:tcPr>
            <w:tcW w:w="720" w:type="dxa"/>
          </w:tcPr>
          <w:p w:rsidR="0082772C" w:rsidRPr="0019417C" w:rsidRDefault="0082772C" w:rsidP="00834B04">
            <w:pPr>
              <w:spacing w:beforeLines="60" w:before="144" w:afterLines="60" w:after="144"/>
              <w:ind w:left="360"/>
              <w:rPr>
                <w:rFonts w:cs="Times New Roman"/>
                <w:szCs w:val="24"/>
              </w:rPr>
            </w:pPr>
          </w:p>
        </w:tc>
      </w:tr>
      <w:tr w:rsidR="00BC60C3" w:rsidRPr="0019417C" w:rsidTr="00BC60C3">
        <w:tc>
          <w:tcPr>
            <w:tcW w:w="9558" w:type="dxa"/>
            <w:gridSpan w:val="3"/>
          </w:tcPr>
          <w:p w:rsidR="00403540" w:rsidRPr="00834B04" w:rsidRDefault="00403540" w:rsidP="00834B04">
            <w:pPr>
              <w:spacing w:beforeLines="60" w:before="144" w:afterLines="60" w:after="144"/>
              <w:ind w:left="360"/>
              <w:rPr>
                <w:b/>
                <w:sz w:val="20"/>
                <w:szCs w:val="20"/>
              </w:rPr>
            </w:pPr>
            <w:r w:rsidRPr="00403540">
              <w:rPr>
                <w:b/>
                <w:sz w:val="20"/>
                <w:szCs w:val="20"/>
              </w:rPr>
              <w:t>Evid</w:t>
            </w:r>
            <w:r w:rsidR="00834B04">
              <w:rPr>
                <w:b/>
                <w:sz w:val="20"/>
                <w:szCs w:val="20"/>
              </w:rPr>
              <w:t>ence or example:</w:t>
            </w:r>
          </w:p>
        </w:tc>
      </w:tr>
      <w:tr w:rsidR="00900760" w:rsidRPr="0019417C" w:rsidTr="000576AC">
        <w:tc>
          <w:tcPr>
            <w:tcW w:w="8118" w:type="dxa"/>
          </w:tcPr>
          <w:p w:rsidR="0082772C" w:rsidRPr="0019417C" w:rsidRDefault="0082772C" w:rsidP="00834B04">
            <w:pPr>
              <w:pStyle w:val="ListParagraph"/>
              <w:numPr>
                <w:ilvl w:val="0"/>
                <w:numId w:val="4"/>
              </w:numPr>
              <w:spacing w:beforeLines="60" w:before="144" w:afterLines="60" w:after="14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9417C">
              <w:rPr>
                <w:rFonts w:ascii="Times New Roman" w:hAnsi="Times New Roman" w:cs="Times New Roman"/>
                <w:sz w:val="24"/>
                <w:szCs w:val="24"/>
              </w:rPr>
              <w:t xml:space="preserve">Includes discussion of specific indicators—related to the knowledge, material, or skills provided by the training—that would indicate a successful transfer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r w:rsidRPr="0019417C">
              <w:rPr>
                <w:rFonts w:ascii="Times New Roman" w:hAnsi="Times New Roman" w:cs="Times New Roman"/>
                <w:sz w:val="24"/>
                <w:szCs w:val="24"/>
              </w:rPr>
              <w:t xml:space="preserve"> practice</w:t>
            </w:r>
          </w:p>
        </w:tc>
        <w:tc>
          <w:tcPr>
            <w:tcW w:w="720" w:type="dxa"/>
          </w:tcPr>
          <w:p w:rsidR="0082772C" w:rsidRPr="0019417C" w:rsidRDefault="0082772C" w:rsidP="00834B04">
            <w:pPr>
              <w:spacing w:beforeLines="60" w:before="144" w:afterLines="60" w:after="144"/>
              <w:ind w:left="360"/>
              <w:rPr>
                <w:rFonts w:cs="Times New Roman"/>
                <w:szCs w:val="24"/>
              </w:rPr>
            </w:pPr>
          </w:p>
        </w:tc>
        <w:tc>
          <w:tcPr>
            <w:tcW w:w="720" w:type="dxa"/>
          </w:tcPr>
          <w:p w:rsidR="0082772C" w:rsidRPr="0019417C" w:rsidRDefault="0082772C" w:rsidP="00834B04">
            <w:pPr>
              <w:spacing w:beforeLines="60" w:before="144" w:afterLines="60" w:after="144"/>
              <w:ind w:left="360"/>
              <w:rPr>
                <w:rFonts w:cs="Times New Roman"/>
                <w:szCs w:val="24"/>
              </w:rPr>
            </w:pPr>
          </w:p>
        </w:tc>
      </w:tr>
      <w:tr w:rsidR="00BC60C3" w:rsidRPr="0019417C" w:rsidTr="00BC60C3">
        <w:tc>
          <w:tcPr>
            <w:tcW w:w="9558" w:type="dxa"/>
            <w:gridSpan w:val="3"/>
          </w:tcPr>
          <w:p w:rsidR="00403540" w:rsidRPr="00834B04" w:rsidRDefault="00834B04" w:rsidP="00834B04">
            <w:pPr>
              <w:spacing w:beforeLines="60" w:before="144" w:afterLines="60" w:after="144"/>
              <w:ind w:left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Evidence or example:</w:t>
            </w:r>
          </w:p>
        </w:tc>
      </w:tr>
      <w:tr w:rsidR="00900760" w:rsidRPr="0019417C" w:rsidTr="000576AC">
        <w:tc>
          <w:tcPr>
            <w:tcW w:w="8118" w:type="dxa"/>
            <w:shd w:val="clear" w:color="auto" w:fill="auto"/>
          </w:tcPr>
          <w:p w:rsidR="0082772C" w:rsidRPr="008D2E8D" w:rsidRDefault="0082772C" w:rsidP="00834B04">
            <w:pPr>
              <w:pStyle w:val="ListParagraph"/>
              <w:keepNext/>
              <w:numPr>
                <w:ilvl w:val="0"/>
                <w:numId w:val="4"/>
              </w:numPr>
              <w:spacing w:beforeLines="60" w:before="144" w:afterLines="60" w:after="14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9417C">
              <w:rPr>
                <w:rFonts w:ascii="Times New Roman" w:hAnsi="Times New Roman" w:cs="Times New Roman"/>
                <w:sz w:val="24"/>
                <w:szCs w:val="24"/>
              </w:rPr>
              <w:t xml:space="preserve">Engages </w:t>
            </w:r>
            <w:r w:rsidR="00BB7C86">
              <w:rPr>
                <w:rFonts w:ascii="Times New Roman" w:hAnsi="Times New Roman" w:cs="Times New Roman"/>
                <w:sz w:val="24"/>
                <w:szCs w:val="24"/>
              </w:rPr>
              <w:t>participants</w:t>
            </w:r>
            <w:r w:rsidRPr="00194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18A0">
              <w:rPr>
                <w:rFonts w:ascii="Times New Roman" w:hAnsi="Times New Roman" w:cs="Times New Roman"/>
                <w:sz w:val="24"/>
                <w:szCs w:val="24"/>
              </w:rPr>
              <w:t xml:space="preserve">in </w:t>
            </w:r>
            <w:r w:rsidRPr="0019417C">
              <w:rPr>
                <w:rFonts w:ascii="Times New Roman" w:hAnsi="Times New Roman" w:cs="Times New Roman"/>
                <w:sz w:val="24"/>
                <w:szCs w:val="24"/>
              </w:rPr>
              <w:t>assessment</w:t>
            </w:r>
            <w:r w:rsidR="00FE1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417C">
              <w:rPr>
                <w:rFonts w:ascii="Times New Roman" w:hAnsi="Times New Roman" w:cs="Times New Roman"/>
                <w:sz w:val="24"/>
                <w:szCs w:val="24"/>
              </w:rPr>
              <w:t xml:space="preserve">of his or her acquisition of knowledge and skills </w:t>
            </w:r>
          </w:p>
        </w:tc>
        <w:tc>
          <w:tcPr>
            <w:tcW w:w="720" w:type="dxa"/>
          </w:tcPr>
          <w:p w:rsidR="0082772C" w:rsidRPr="0019417C" w:rsidRDefault="0082772C" w:rsidP="00834B04">
            <w:pPr>
              <w:spacing w:beforeLines="60" w:before="144" w:afterLines="60" w:after="144"/>
              <w:ind w:left="360"/>
              <w:rPr>
                <w:rFonts w:cs="Times New Roman"/>
                <w:szCs w:val="24"/>
              </w:rPr>
            </w:pPr>
          </w:p>
        </w:tc>
        <w:tc>
          <w:tcPr>
            <w:tcW w:w="720" w:type="dxa"/>
          </w:tcPr>
          <w:p w:rsidR="0082772C" w:rsidRPr="0019417C" w:rsidRDefault="0082772C" w:rsidP="00834B04">
            <w:pPr>
              <w:spacing w:beforeLines="60" w:before="144" w:afterLines="60" w:after="144"/>
              <w:ind w:left="360"/>
              <w:rPr>
                <w:rFonts w:cs="Times New Roman"/>
                <w:szCs w:val="24"/>
              </w:rPr>
            </w:pPr>
          </w:p>
        </w:tc>
      </w:tr>
      <w:tr w:rsidR="00BC60C3" w:rsidRPr="0019417C" w:rsidTr="00BC60C3">
        <w:tc>
          <w:tcPr>
            <w:tcW w:w="9558" w:type="dxa"/>
            <w:gridSpan w:val="3"/>
            <w:shd w:val="clear" w:color="auto" w:fill="auto"/>
          </w:tcPr>
          <w:p w:rsidR="00403540" w:rsidRPr="00834B04" w:rsidRDefault="00834B04" w:rsidP="00834B04">
            <w:pPr>
              <w:spacing w:beforeLines="60" w:before="144" w:afterLines="60" w:after="144"/>
              <w:ind w:left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Evidence or example:</w:t>
            </w:r>
          </w:p>
        </w:tc>
      </w:tr>
      <w:tr w:rsidR="00A0285F" w:rsidRPr="0019417C" w:rsidTr="00A0285F">
        <w:tc>
          <w:tcPr>
            <w:tcW w:w="9558" w:type="dxa"/>
            <w:gridSpan w:val="3"/>
            <w:shd w:val="clear" w:color="auto" w:fill="BFBFBF" w:themeFill="background1" w:themeFillShade="BF"/>
          </w:tcPr>
          <w:p w:rsidR="00A0285F" w:rsidRPr="0019417C" w:rsidRDefault="00A0285F" w:rsidP="00A0285F">
            <w:pPr>
              <w:spacing w:beforeLines="60" w:before="144" w:afterLines="60" w:after="144"/>
              <w:rPr>
                <w:b/>
              </w:rPr>
            </w:pPr>
            <w:r w:rsidRPr="0019417C">
              <w:rPr>
                <w:b/>
              </w:rPr>
              <w:t>Mastery</w:t>
            </w:r>
          </w:p>
        </w:tc>
      </w:tr>
      <w:tr w:rsidR="00900760" w:rsidRPr="0019417C" w:rsidDel="00FD786A" w:rsidTr="000576AC">
        <w:tc>
          <w:tcPr>
            <w:tcW w:w="8118" w:type="dxa"/>
          </w:tcPr>
          <w:p w:rsidR="0082772C" w:rsidRPr="0019417C" w:rsidDel="00FD786A" w:rsidRDefault="008339B9" w:rsidP="00834B04">
            <w:pPr>
              <w:pStyle w:val="ListParagraph"/>
              <w:numPr>
                <w:ilvl w:val="0"/>
                <w:numId w:val="4"/>
              </w:numPr>
              <w:spacing w:beforeLines="60" w:before="144" w:afterLines="60" w:after="14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Includes follow-</w:t>
            </w:r>
            <w:r w:rsidR="0082772C" w:rsidRPr="0019417C">
              <w:rPr>
                <w:rFonts w:ascii="Times New Roman" w:hAnsi="Times New Roman" w:cs="Times New Roman"/>
                <w:sz w:val="24"/>
                <w:szCs w:val="24"/>
              </w:rPr>
              <w:t xml:space="preserve">up activities that require </w:t>
            </w:r>
            <w:r w:rsidR="0082772C">
              <w:rPr>
                <w:rFonts w:ascii="Times New Roman" w:hAnsi="Times New Roman" w:cs="Times New Roman"/>
                <w:sz w:val="24"/>
                <w:szCs w:val="24"/>
              </w:rPr>
              <w:t>participants</w:t>
            </w:r>
            <w:r w:rsidR="0082772C" w:rsidRPr="0019417C">
              <w:rPr>
                <w:rFonts w:ascii="Times New Roman" w:hAnsi="Times New Roman" w:cs="Times New Roman"/>
                <w:sz w:val="24"/>
                <w:szCs w:val="24"/>
              </w:rPr>
              <w:t xml:space="preserve"> to apply their learning in a new setting or context</w:t>
            </w:r>
          </w:p>
        </w:tc>
        <w:tc>
          <w:tcPr>
            <w:tcW w:w="720" w:type="dxa"/>
          </w:tcPr>
          <w:p w:rsidR="0082772C" w:rsidRPr="0019417C" w:rsidDel="00FD786A" w:rsidRDefault="0082772C" w:rsidP="00834B04">
            <w:pPr>
              <w:spacing w:beforeLines="60" w:before="144" w:afterLines="60" w:after="144"/>
              <w:ind w:left="360"/>
              <w:rPr>
                <w:rFonts w:cs="Times New Roman"/>
                <w:szCs w:val="24"/>
              </w:rPr>
            </w:pPr>
          </w:p>
        </w:tc>
        <w:tc>
          <w:tcPr>
            <w:tcW w:w="720" w:type="dxa"/>
          </w:tcPr>
          <w:p w:rsidR="0082772C" w:rsidRPr="0019417C" w:rsidDel="00FD786A" w:rsidRDefault="0082772C" w:rsidP="00834B04">
            <w:pPr>
              <w:spacing w:beforeLines="60" w:before="144" w:afterLines="60" w:after="144"/>
              <w:ind w:left="360"/>
              <w:rPr>
                <w:rFonts w:cs="Times New Roman"/>
                <w:szCs w:val="24"/>
              </w:rPr>
            </w:pPr>
          </w:p>
        </w:tc>
      </w:tr>
      <w:tr w:rsidR="00BC60C3" w:rsidRPr="0019417C" w:rsidDel="00FD786A" w:rsidTr="00BC60C3">
        <w:tc>
          <w:tcPr>
            <w:tcW w:w="9558" w:type="dxa"/>
            <w:gridSpan w:val="3"/>
          </w:tcPr>
          <w:p w:rsidR="00403540" w:rsidRPr="00834B04" w:rsidDel="00FD786A" w:rsidRDefault="00403540" w:rsidP="00834B04">
            <w:pPr>
              <w:spacing w:beforeLines="60" w:before="144" w:afterLines="60" w:after="144"/>
              <w:ind w:left="360"/>
              <w:rPr>
                <w:b/>
                <w:sz w:val="20"/>
                <w:szCs w:val="20"/>
              </w:rPr>
            </w:pPr>
            <w:r w:rsidRPr="00403540">
              <w:rPr>
                <w:b/>
                <w:sz w:val="20"/>
                <w:szCs w:val="20"/>
              </w:rPr>
              <w:t>Evidence or example:</w:t>
            </w:r>
          </w:p>
        </w:tc>
      </w:tr>
      <w:tr w:rsidR="00900760" w:rsidRPr="0019417C" w:rsidTr="000576AC">
        <w:tc>
          <w:tcPr>
            <w:tcW w:w="8118" w:type="dxa"/>
          </w:tcPr>
          <w:p w:rsidR="0082772C" w:rsidRPr="0019417C" w:rsidRDefault="00C96BAC" w:rsidP="00834B04">
            <w:pPr>
              <w:pStyle w:val="ListParagraph"/>
              <w:numPr>
                <w:ilvl w:val="0"/>
                <w:numId w:val="4"/>
              </w:numPr>
              <w:spacing w:beforeLines="60" w:before="144" w:afterLines="60" w:after="14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Provides continued</w:t>
            </w:r>
            <w:r w:rsidR="0082772C" w:rsidRPr="0019417C">
              <w:rPr>
                <w:rFonts w:ascii="Times New Roman" w:hAnsi="Times New Roman" w:cs="Times New Roman"/>
                <w:sz w:val="24"/>
                <w:szCs w:val="24"/>
              </w:rPr>
              <w:t xml:space="preserve"> feedback through technical assistance and resources </w:t>
            </w:r>
          </w:p>
        </w:tc>
        <w:tc>
          <w:tcPr>
            <w:tcW w:w="720" w:type="dxa"/>
          </w:tcPr>
          <w:p w:rsidR="0082772C" w:rsidRPr="0019417C" w:rsidRDefault="0082772C" w:rsidP="00834B04">
            <w:pPr>
              <w:spacing w:beforeLines="60" w:before="144" w:afterLines="60" w:after="144"/>
              <w:ind w:left="360"/>
              <w:rPr>
                <w:rFonts w:cs="Times New Roman"/>
                <w:szCs w:val="24"/>
              </w:rPr>
            </w:pPr>
          </w:p>
        </w:tc>
        <w:tc>
          <w:tcPr>
            <w:tcW w:w="720" w:type="dxa"/>
          </w:tcPr>
          <w:p w:rsidR="0082772C" w:rsidRPr="0019417C" w:rsidRDefault="0082772C" w:rsidP="00834B04">
            <w:pPr>
              <w:spacing w:beforeLines="60" w:before="144" w:afterLines="60" w:after="144"/>
              <w:ind w:left="360"/>
              <w:rPr>
                <w:rFonts w:cs="Times New Roman"/>
                <w:szCs w:val="24"/>
              </w:rPr>
            </w:pPr>
          </w:p>
        </w:tc>
      </w:tr>
      <w:tr w:rsidR="00BC60C3" w:rsidRPr="0019417C" w:rsidTr="00BC60C3">
        <w:tc>
          <w:tcPr>
            <w:tcW w:w="9558" w:type="dxa"/>
            <w:gridSpan w:val="3"/>
          </w:tcPr>
          <w:p w:rsidR="00403540" w:rsidRPr="00834B04" w:rsidRDefault="00834B04" w:rsidP="00834B04">
            <w:pPr>
              <w:spacing w:beforeLines="60" w:before="144" w:afterLines="60" w:after="144"/>
              <w:ind w:left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Evidence or example:</w:t>
            </w:r>
          </w:p>
        </w:tc>
      </w:tr>
      <w:tr w:rsidR="00900760" w:rsidRPr="0019417C" w:rsidTr="000576AC">
        <w:tc>
          <w:tcPr>
            <w:tcW w:w="8118" w:type="dxa"/>
          </w:tcPr>
          <w:p w:rsidR="0082772C" w:rsidRPr="0019417C" w:rsidRDefault="0082772C" w:rsidP="00834B04">
            <w:pPr>
              <w:pStyle w:val="ListParagraph"/>
              <w:numPr>
                <w:ilvl w:val="0"/>
                <w:numId w:val="4"/>
              </w:numPr>
              <w:spacing w:beforeLines="60" w:before="144" w:afterLines="60" w:after="14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9417C">
              <w:rPr>
                <w:rFonts w:ascii="Times New Roman" w:hAnsi="Times New Roman" w:cs="Times New Roman"/>
                <w:sz w:val="24"/>
                <w:szCs w:val="24"/>
              </w:rPr>
              <w:t xml:space="preserve">Includes coaching to improve fidelity of implementation </w:t>
            </w:r>
          </w:p>
        </w:tc>
        <w:tc>
          <w:tcPr>
            <w:tcW w:w="720" w:type="dxa"/>
          </w:tcPr>
          <w:p w:rsidR="0082772C" w:rsidRPr="0019417C" w:rsidRDefault="0082772C" w:rsidP="00834B04">
            <w:pPr>
              <w:spacing w:beforeLines="60" w:before="144" w:afterLines="60" w:after="144"/>
              <w:ind w:left="360"/>
              <w:rPr>
                <w:rFonts w:cs="Times New Roman"/>
                <w:szCs w:val="24"/>
              </w:rPr>
            </w:pPr>
          </w:p>
        </w:tc>
        <w:tc>
          <w:tcPr>
            <w:tcW w:w="720" w:type="dxa"/>
          </w:tcPr>
          <w:p w:rsidR="0082772C" w:rsidRPr="0019417C" w:rsidRDefault="0082772C" w:rsidP="00834B04">
            <w:pPr>
              <w:spacing w:beforeLines="60" w:before="144" w:afterLines="60" w:after="144"/>
              <w:ind w:left="360"/>
              <w:rPr>
                <w:rFonts w:cs="Times New Roman"/>
                <w:szCs w:val="24"/>
              </w:rPr>
            </w:pPr>
          </w:p>
        </w:tc>
      </w:tr>
      <w:tr w:rsidR="00BC60C3" w:rsidRPr="0019417C" w:rsidTr="00BC60C3">
        <w:tc>
          <w:tcPr>
            <w:tcW w:w="9558" w:type="dxa"/>
            <w:gridSpan w:val="3"/>
          </w:tcPr>
          <w:p w:rsidR="00403540" w:rsidRPr="00834B04" w:rsidRDefault="00834B04" w:rsidP="00834B04">
            <w:pPr>
              <w:spacing w:beforeLines="60" w:before="144" w:afterLines="60" w:after="144"/>
              <w:ind w:left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Evidence or example:</w:t>
            </w:r>
          </w:p>
        </w:tc>
      </w:tr>
    </w:tbl>
    <w:p w:rsidR="0082772C" w:rsidRPr="0019417C" w:rsidRDefault="0082772C" w:rsidP="00B7029E">
      <w:pPr>
        <w:rPr>
          <w:rFonts w:cs="Times New Roman"/>
          <w:szCs w:val="24"/>
        </w:rPr>
      </w:pPr>
    </w:p>
    <w:p w:rsidR="00797AD0" w:rsidRDefault="00797AD0" w:rsidP="00784B22">
      <w:pPr>
        <w:keepNext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>References</w:t>
      </w:r>
    </w:p>
    <w:p w:rsidR="00784B22" w:rsidRPr="00797AD0" w:rsidRDefault="00784B22" w:rsidP="00784B22">
      <w:pPr>
        <w:keepNext/>
        <w:rPr>
          <w:rFonts w:cs="Times New Roman"/>
          <w:b/>
          <w:szCs w:val="24"/>
        </w:rPr>
      </w:pPr>
    </w:p>
    <w:p w:rsidR="00797AD0" w:rsidRPr="00797AD0" w:rsidRDefault="00797AD0" w:rsidP="00797AD0">
      <w:pPr>
        <w:ind w:left="720" w:hanging="720"/>
        <w:rPr>
          <w:rFonts w:cs="Times New Roman"/>
          <w:szCs w:val="24"/>
        </w:rPr>
      </w:pPr>
      <w:proofErr w:type="gramStart"/>
      <w:r w:rsidRPr="00797AD0">
        <w:rPr>
          <w:rFonts w:cs="Times New Roman"/>
          <w:szCs w:val="24"/>
        </w:rPr>
        <w:t xml:space="preserve">Archibald, S., </w:t>
      </w:r>
      <w:proofErr w:type="spellStart"/>
      <w:r w:rsidRPr="00797AD0">
        <w:rPr>
          <w:rFonts w:cs="Times New Roman"/>
          <w:szCs w:val="24"/>
        </w:rPr>
        <w:t>Coggshall</w:t>
      </w:r>
      <w:proofErr w:type="spellEnd"/>
      <w:r w:rsidRPr="00797AD0">
        <w:rPr>
          <w:rFonts w:cs="Times New Roman"/>
          <w:szCs w:val="24"/>
        </w:rPr>
        <w:t xml:space="preserve">, J. G., Croft, A., &amp; </w:t>
      </w:r>
      <w:proofErr w:type="spellStart"/>
      <w:r w:rsidRPr="00797AD0">
        <w:rPr>
          <w:rFonts w:cs="Times New Roman"/>
          <w:szCs w:val="24"/>
        </w:rPr>
        <w:t>Goe</w:t>
      </w:r>
      <w:proofErr w:type="spellEnd"/>
      <w:r w:rsidRPr="00797AD0">
        <w:rPr>
          <w:rFonts w:cs="Times New Roman"/>
          <w:szCs w:val="24"/>
        </w:rPr>
        <w:t>, L. (2011).</w:t>
      </w:r>
      <w:proofErr w:type="gramEnd"/>
      <w:r w:rsidRPr="00797AD0">
        <w:rPr>
          <w:rFonts w:cs="Times New Roman"/>
          <w:szCs w:val="24"/>
        </w:rPr>
        <w:t xml:space="preserve">  High-quality professional development for all teachers:  Effectively allocating resources (Research and Policy Brief).  Retrieved from National Comprehensive Center for Teacher Quality website: http://www.tqsource.org/publications/HighQualityProfessionalDevelopment.pdf</w:t>
      </w:r>
    </w:p>
    <w:p w:rsidR="00797AD0" w:rsidRPr="00797AD0" w:rsidRDefault="00797AD0" w:rsidP="00797AD0">
      <w:pPr>
        <w:rPr>
          <w:rFonts w:cs="Times New Roman"/>
          <w:szCs w:val="24"/>
        </w:rPr>
      </w:pPr>
    </w:p>
    <w:p w:rsidR="00797AD0" w:rsidRPr="00797AD0" w:rsidRDefault="00797AD0" w:rsidP="00797AD0">
      <w:pPr>
        <w:ind w:left="720" w:hanging="720"/>
        <w:rPr>
          <w:rFonts w:cs="Times New Roman"/>
          <w:szCs w:val="24"/>
        </w:rPr>
      </w:pPr>
      <w:proofErr w:type="spellStart"/>
      <w:r w:rsidRPr="00797AD0">
        <w:rPr>
          <w:rFonts w:cs="Times New Roman"/>
          <w:szCs w:val="24"/>
        </w:rPr>
        <w:t>Duda</w:t>
      </w:r>
      <w:proofErr w:type="spellEnd"/>
      <w:r w:rsidRPr="00797AD0">
        <w:rPr>
          <w:rFonts w:cs="Times New Roman"/>
          <w:szCs w:val="24"/>
        </w:rPr>
        <w:t xml:space="preserve">, M. A., Van Dyke, M., </w:t>
      </w:r>
      <w:proofErr w:type="spellStart"/>
      <w:r w:rsidRPr="00797AD0">
        <w:rPr>
          <w:rFonts w:cs="Times New Roman"/>
          <w:szCs w:val="24"/>
        </w:rPr>
        <w:t>Borgmeier</w:t>
      </w:r>
      <w:proofErr w:type="spellEnd"/>
      <w:r w:rsidRPr="00797AD0">
        <w:rPr>
          <w:rFonts w:cs="Times New Roman"/>
          <w:szCs w:val="24"/>
        </w:rPr>
        <w:t xml:space="preserve">, C., Davis, S., &amp; </w:t>
      </w:r>
      <w:proofErr w:type="spellStart"/>
      <w:r w:rsidRPr="00797AD0">
        <w:rPr>
          <w:rFonts w:cs="Times New Roman"/>
          <w:szCs w:val="24"/>
        </w:rPr>
        <w:t>McGlinchey</w:t>
      </w:r>
      <w:proofErr w:type="spellEnd"/>
      <w:r w:rsidRPr="00797AD0">
        <w:rPr>
          <w:rFonts w:cs="Times New Roman"/>
          <w:szCs w:val="24"/>
        </w:rPr>
        <w:t xml:space="preserve">, M. (2011, February).  </w:t>
      </w:r>
      <w:proofErr w:type="gramStart"/>
      <w:r w:rsidRPr="00797AD0">
        <w:rPr>
          <w:rFonts w:cs="Times New Roman"/>
          <w:i/>
          <w:szCs w:val="24"/>
        </w:rPr>
        <w:t>Evidence-based professional development.</w:t>
      </w:r>
      <w:proofErr w:type="gramEnd"/>
      <w:r w:rsidRPr="00797AD0">
        <w:rPr>
          <w:rFonts w:cs="Times New Roman"/>
          <w:i/>
          <w:szCs w:val="24"/>
        </w:rPr>
        <w:t xml:space="preserve"> </w:t>
      </w:r>
      <w:r w:rsidRPr="00797AD0">
        <w:rPr>
          <w:rFonts w:cs="Times New Roman"/>
          <w:szCs w:val="24"/>
        </w:rPr>
        <w:t xml:space="preserve"> Presented at the 2011 State Personnel Development Grants Regional Meeting, Washington, DC.  </w:t>
      </w:r>
    </w:p>
    <w:p w:rsidR="00797AD0" w:rsidRPr="00797AD0" w:rsidRDefault="00797AD0" w:rsidP="00797AD0">
      <w:pPr>
        <w:ind w:left="360" w:hanging="360"/>
        <w:rPr>
          <w:rFonts w:cs="Times New Roman"/>
          <w:szCs w:val="24"/>
        </w:rPr>
      </w:pPr>
    </w:p>
    <w:p w:rsidR="00797AD0" w:rsidRPr="00797AD0" w:rsidRDefault="00797AD0" w:rsidP="00797AD0">
      <w:pPr>
        <w:ind w:left="720" w:hanging="720"/>
        <w:rPr>
          <w:szCs w:val="24"/>
        </w:rPr>
      </w:pPr>
      <w:proofErr w:type="spellStart"/>
      <w:r w:rsidRPr="00797AD0">
        <w:rPr>
          <w:szCs w:val="24"/>
        </w:rPr>
        <w:t>Dunst</w:t>
      </w:r>
      <w:proofErr w:type="spellEnd"/>
      <w:r w:rsidRPr="00797AD0">
        <w:rPr>
          <w:szCs w:val="24"/>
        </w:rPr>
        <w:t xml:space="preserve">, C. J., &amp; </w:t>
      </w:r>
      <w:proofErr w:type="spellStart"/>
      <w:r w:rsidRPr="00797AD0">
        <w:rPr>
          <w:szCs w:val="24"/>
        </w:rPr>
        <w:t>Trivette</w:t>
      </w:r>
      <w:proofErr w:type="spellEnd"/>
      <w:r w:rsidRPr="00797AD0">
        <w:rPr>
          <w:szCs w:val="24"/>
        </w:rPr>
        <w:t xml:space="preserve">, C. M. (2009). Let’s be PALS: An evidence-based approach to professional development. </w:t>
      </w:r>
      <w:proofErr w:type="gramStart"/>
      <w:r w:rsidRPr="00797AD0">
        <w:rPr>
          <w:i/>
          <w:szCs w:val="24"/>
        </w:rPr>
        <w:t>Infants &amp; Young Children, 22</w:t>
      </w:r>
      <w:r w:rsidRPr="00797AD0">
        <w:rPr>
          <w:szCs w:val="24"/>
        </w:rPr>
        <w:t>(3), 164-176.</w:t>
      </w:r>
      <w:proofErr w:type="gramEnd"/>
    </w:p>
    <w:p w:rsidR="00797AD0" w:rsidRPr="00797AD0" w:rsidRDefault="00797AD0" w:rsidP="00797AD0">
      <w:pPr>
        <w:ind w:left="360" w:hanging="360"/>
        <w:rPr>
          <w:szCs w:val="24"/>
        </w:rPr>
      </w:pPr>
    </w:p>
    <w:p w:rsidR="00797AD0" w:rsidRPr="00797AD0" w:rsidRDefault="00797AD0" w:rsidP="00797AD0">
      <w:pPr>
        <w:ind w:left="720" w:hanging="720"/>
        <w:rPr>
          <w:szCs w:val="24"/>
        </w:rPr>
      </w:pPr>
      <w:proofErr w:type="spellStart"/>
      <w:r w:rsidRPr="00797AD0">
        <w:rPr>
          <w:szCs w:val="24"/>
        </w:rPr>
        <w:t>Hunzicker</w:t>
      </w:r>
      <w:proofErr w:type="spellEnd"/>
      <w:r w:rsidRPr="00797AD0">
        <w:rPr>
          <w:szCs w:val="24"/>
        </w:rPr>
        <w:t xml:space="preserve">, J. (2010). Characteristics of effective professional </w:t>
      </w:r>
      <w:r w:rsidRPr="00797AD0">
        <w:rPr>
          <w:rFonts w:cs="Times New Roman"/>
          <w:szCs w:val="24"/>
        </w:rPr>
        <w:t>development</w:t>
      </w:r>
      <w:r w:rsidRPr="00797AD0">
        <w:rPr>
          <w:szCs w:val="24"/>
        </w:rPr>
        <w:t xml:space="preserve">: A checklist. </w:t>
      </w:r>
      <w:proofErr w:type="gramStart"/>
      <w:r w:rsidRPr="00797AD0">
        <w:rPr>
          <w:szCs w:val="24"/>
        </w:rPr>
        <w:t>Unpublished manuscript, Department of Teacher Education, Bradley University, Peoria, Illinois.</w:t>
      </w:r>
      <w:proofErr w:type="gramEnd"/>
      <w:r w:rsidRPr="00797AD0">
        <w:rPr>
          <w:szCs w:val="24"/>
        </w:rPr>
        <w:t xml:space="preserve"> </w:t>
      </w:r>
    </w:p>
    <w:p w:rsidR="00797AD0" w:rsidRPr="00797AD0" w:rsidRDefault="00797AD0" w:rsidP="00797AD0">
      <w:pPr>
        <w:ind w:left="360" w:hanging="360"/>
        <w:rPr>
          <w:szCs w:val="24"/>
        </w:rPr>
      </w:pPr>
    </w:p>
    <w:p w:rsidR="00797AD0" w:rsidRPr="00797AD0" w:rsidRDefault="00797AD0" w:rsidP="00797AD0">
      <w:pPr>
        <w:ind w:left="720" w:hanging="720"/>
        <w:rPr>
          <w:szCs w:val="24"/>
        </w:rPr>
      </w:pPr>
      <w:proofErr w:type="spellStart"/>
      <w:r w:rsidRPr="009B78FE">
        <w:rPr>
          <w:szCs w:val="24"/>
        </w:rPr>
        <w:t>Knoff</w:t>
      </w:r>
      <w:proofErr w:type="spellEnd"/>
      <w:r w:rsidRPr="009B78FE">
        <w:rPr>
          <w:szCs w:val="24"/>
        </w:rPr>
        <w:t>, H. M. (</w:t>
      </w:r>
      <w:r w:rsidRPr="009B78FE">
        <w:rPr>
          <w:rFonts w:cs="Times New Roman"/>
          <w:szCs w:val="24"/>
        </w:rPr>
        <w:t>2011</w:t>
      </w:r>
      <w:r w:rsidRPr="009B78FE">
        <w:rPr>
          <w:szCs w:val="24"/>
        </w:rPr>
        <w:t xml:space="preserve">). Arkansas SPDG research-based professional development: Evaluation form. Unpublished instrument. </w:t>
      </w:r>
    </w:p>
    <w:p w:rsidR="00797AD0" w:rsidRPr="00797AD0" w:rsidRDefault="00797AD0" w:rsidP="00797AD0">
      <w:pPr>
        <w:ind w:left="360" w:hanging="360"/>
        <w:rPr>
          <w:szCs w:val="24"/>
        </w:rPr>
      </w:pPr>
    </w:p>
    <w:p w:rsidR="00797AD0" w:rsidRPr="00797AD0" w:rsidRDefault="00797AD0" w:rsidP="00797AD0">
      <w:pPr>
        <w:ind w:left="720" w:hanging="720"/>
        <w:rPr>
          <w:rFonts w:cs="Times New Roman"/>
          <w:szCs w:val="24"/>
        </w:rPr>
      </w:pPr>
      <w:proofErr w:type="spellStart"/>
      <w:r w:rsidRPr="00797AD0">
        <w:rPr>
          <w:rFonts w:cs="Times New Roman"/>
          <w:szCs w:val="24"/>
        </w:rPr>
        <w:t>Trivette</w:t>
      </w:r>
      <w:proofErr w:type="spellEnd"/>
      <w:r w:rsidRPr="00797AD0">
        <w:rPr>
          <w:rFonts w:cs="Times New Roman"/>
          <w:szCs w:val="24"/>
        </w:rPr>
        <w:t xml:space="preserve">, C. M., </w:t>
      </w:r>
      <w:proofErr w:type="spellStart"/>
      <w:r w:rsidRPr="00797AD0">
        <w:rPr>
          <w:rFonts w:cs="Times New Roman"/>
          <w:szCs w:val="24"/>
        </w:rPr>
        <w:t>Dunst</w:t>
      </w:r>
      <w:proofErr w:type="spellEnd"/>
      <w:r w:rsidRPr="00797AD0">
        <w:rPr>
          <w:rFonts w:cs="Times New Roman"/>
          <w:szCs w:val="24"/>
        </w:rPr>
        <w:t xml:space="preserve">, C. J., Hamby, D.W., &amp; </w:t>
      </w:r>
      <w:proofErr w:type="spellStart"/>
      <w:r w:rsidRPr="00797AD0">
        <w:rPr>
          <w:rFonts w:cs="Times New Roman"/>
          <w:szCs w:val="24"/>
        </w:rPr>
        <w:t>O’Herin</w:t>
      </w:r>
      <w:proofErr w:type="spellEnd"/>
      <w:r w:rsidRPr="00797AD0">
        <w:rPr>
          <w:rFonts w:cs="Times New Roman"/>
          <w:szCs w:val="24"/>
        </w:rPr>
        <w:t>, C. E. (2009). </w:t>
      </w:r>
      <w:hyperlink r:id="rId9" w:history="1">
        <w:proofErr w:type="gramStart"/>
        <w:r w:rsidRPr="00797AD0">
          <w:rPr>
            <w:rFonts w:cs="Times New Roman"/>
            <w:szCs w:val="24"/>
          </w:rPr>
          <w:t>Characteristics and consequences of adult learning methods and strategies</w:t>
        </w:r>
      </w:hyperlink>
      <w:r w:rsidRPr="00797AD0">
        <w:rPr>
          <w:rFonts w:cs="Times New Roman"/>
          <w:szCs w:val="24"/>
        </w:rPr>
        <w:t> (Winterberry Research Synthesis, Vol. 2, No. 2).</w:t>
      </w:r>
      <w:proofErr w:type="gramEnd"/>
      <w:r w:rsidRPr="00797AD0">
        <w:rPr>
          <w:rFonts w:cs="Times New Roman"/>
          <w:szCs w:val="24"/>
        </w:rPr>
        <w:t xml:space="preserve"> Asheville, NC: Winterberry Press.</w:t>
      </w:r>
    </w:p>
    <w:p w:rsidR="004F1610" w:rsidRDefault="004F1610" w:rsidP="00216194"/>
    <w:sectPr w:rsidR="004F1610" w:rsidSect="000576AC">
      <w:footerReference w:type="default" r:id="rId10"/>
      <w:pgSz w:w="12240" w:h="15840" w:code="1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C6B" w:rsidRDefault="00256C6B" w:rsidP="0082772C">
      <w:pPr>
        <w:spacing w:line="240" w:lineRule="auto"/>
      </w:pPr>
      <w:r>
        <w:separator/>
      </w:r>
    </w:p>
  </w:endnote>
  <w:endnote w:type="continuationSeparator" w:id="0">
    <w:p w:rsidR="00256C6B" w:rsidRDefault="00256C6B" w:rsidP="008277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09601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A1FE8" w:rsidRDefault="005A1FE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432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0285F" w:rsidRDefault="00A0285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C6B" w:rsidRDefault="00256C6B" w:rsidP="0082772C">
      <w:pPr>
        <w:spacing w:line="240" w:lineRule="auto"/>
      </w:pPr>
      <w:r>
        <w:separator/>
      </w:r>
    </w:p>
  </w:footnote>
  <w:footnote w:type="continuationSeparator" w:id="0">
    <w:p w:rsidR="00256C6B" w:rsidRDefault="00256C6B" w:rsidP="0082772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916A5"/>
    <w:multiLevelType w:val="hybridMultilevel"/>
    <w:tmpl w:val="4F445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871332"/>
    <w:multiLevelType w:val="hybridMultilevel"/>
    <w:tmpl w:val="D9F4E3C4"/>
    <w:lvl w:ilvl="0" w:tplc="60B2EA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DE6FD9"/>
    <w:multiLevelType w:val="hybridMultilevel"/>
    <w:tmpl w:val="322C4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FC77DC"/>
    <w:multiLevelType w:val="hybridMultilevel"/>
    <w:tmpl w:val="0ED43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ECB"/>
    <w:rsid w:val="000015CB"/>
    <w:rsid w:val="000215EA"/>
    <w:rsid w:val="000576AC"/>
    <w:rsid w:val="0006588A"/>
    <w:rsid w:val="000678B2"/>
    <w:rsid w:val="000C5184"/>
    <w:rsid w:val="00151114"/>
    <w:rsid w:val="00167511"/>
    <w:rsid w:val="00176815"/>
    <w:rsid w:val="001873EC"/>
    <w:rsid w:val="0019417C"/>
    <w:rsid w:val="001F607E"/>
    <w:rsid w:val="00216194"/>
    <w:rsid w:val="00230113"/>
    <w:rsid w:val="00237504"/>
    <w:rsid w:val="00240123"/>
    <w:rsid w:val="00256C6B"/>
    <w:rsid w:val="00261366"/>
    <w:rsid w:val="00302FB9"/>
    <w:rsid w:val="003035C5"/>
    <w:rsid w:val="00321ECD"/>
    <w:rsid w:val="00343644"/>
    <w:rsid w:val="00352074"/>
    <w:rsid w:val="00370AED"/>
    <w:rsid w:val="003A7638"/>
    <w:rsid w:val="003E394E"/>
    <w:rsid w:val="003E419D"/>
    <w:rsid w:val="00403540"/>
    <w:rsid w:val="00412EBB"/>
    <w:rsid w:val="004C3189"/>
    <w:rsid w:val="004F1610"/>
    <w:rsid w:val="005066CC"/>
    <w:rsid w:val="00511F9E"/>
    <w:rsid w:val="00541E6D"/>
    <w:rsid w:val="005561F0"/>
    <w:rsid w:val="005928EB"/>
    <w:rsid w:val="005A057C"/>
    <w:rsid w:val="005A1FE8"/>
    <w:rsid w:val="005D4F48"/>
    <w:rsid w:val="006056A8"/>
    <w:rsid w:val="00614329"/>
    <w:rsid w:val="00633098"/>
    <w:rsid w:val="00665E57"/>
    <w:rsid w:val="00691B43"/>
    <w:rsid w:val="00694A0A"/>
    <w:rsid w:val="00697505"/>
    <w:rsid w:val="006E15DD"/>
    <w:rsid w:val="007159B0"/>
    <w:rsid w:val="00774744"/>
    <w:rsid w:val="00784B22"/>
    <w:rsid w:val="00794E84"/>
    <w:rsid w:val="00797AD0"/>
    <w:rsid w:val="007A27DA"/>
    <w:rsid w:val="007A334B"/>
    <w:rsid w:val="007C65EB"/>
    <w:rsid w:val="00820073"/>
    <w:rsid w:val="0082772C"/>
    <w:rsid w:val="008339B9"/>
    <w:rsid w:val="00834B04"/>
    <w:rsid w:val="00857C36"/>
    <w:rsid w:val="00864163"/>
    <w:rsid w:val="008D2E8D"/>
    <w:rsid w:val="008E21CB"/>
    <w:rsid w:val="008F0D8E"/>
    <w:rsid w:val="008F5DD8"/>
    <w:rsid w:val="00900760"/>
    <w:rsid w:val="009226B1"/>
    <w:rsid w:val="009517CF"/>
    <w:rsid w:val="009B78FE"/>
    <w:rsid w:val="009E6A4C"/>
    <w:rsid w:val="00A0285F"/>
    <w:rsid w:val="00A550A5"/>
    <w:rsid w:val="00A901FE"/>
    <w:rsid w:val="00AE4672"/>
    <w:rsid w:val="00B047AD"/>
    <w:rsid w:val="00B17659"/>
    <w:rsid w:val="00B27960"/>
    <w:rsid w:val="00B33AEF"/>
    <w:rsid w:val="00B430A2"/>
    <w:rsid w:val="00B52FB1"/>
    <w:rsid w:val="00B7029E"/>
    <w:rsid w:val="00B8643A"/>
    <w:rsid w:val="00BA4F69"/>
    <w:rsid w:val="00BA5009"/>
    <w:rsid w:val="00BB7C86"/>
    <w:rsid w:val="00BC60C3"/>
    <w:rsid w:val="00C01FB1"/>
    <w:rsid w:val="00C47DE4"/>
    <w:rsid w:val="00C96BAC"/>
    <w:rsid w:val="00CC654B"/>
    <w:rsid w:val="00D030CB"/>
    <w:rsid w:val="00D03520"/>
    <w:rsid w:val="00D6774F"/>
    <w:rsid w:val="00D929DF"/>
    <w:rsid w:val="00D94A5F"/>
    <w:rsid w:val="00DB3F01"/>
    <w:rsid w:val="00E00E24"/>
    <w:rsid w:val="00E1379B"/>
    <w:rsid w:val="00E15A75"/>
    <w:rsid w:val="00E351B9"/>
    <w:rsid w:val="00E80775"/>
    <w:rsid w:val="00E85BD7"/>
    <w:rsid w:val="00EA4659"/>
    <w:rsid w:val="00ED4B36"/>
    <w:rsid w:val="00EE2449"/>
    <w:rsid w:val="00EF3364"/>
    <w:rsid w:val="00EF4D49"/>
    <w:rsid w:val="00F11174"/>
    <w:rsid w:val="00F22DA3"/>
    <w:rsid w:val="00F30395"/>
    <w:rsid w:val="00F34135"/>
    <w:rsid w:val="00F4062A"/>
    <w:rsid w:val="00FD524F"/>
    <w:rsid w:val="00FD786A"/>
    <w:rsid w:val="00FE18A0"/>
    <w:rsid w:val="00FE5FB2"/>
    <w:rsid w:val="00FE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638"/>
    <w:pPr>
      <w:spacing w:after="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7ECB"/>
    <w:pPr>
      <w:spacing w:after="200"/>
      <w:ind w:left="720"/>
      <w:contextualSpacing/>
    </w:pPr>
    <w:rPr>
      <w:rFonts w:asciiTheme="minorHAnsi" w:hAnsiTheme="minorHAnsi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B702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29E"/>
    <w:pPr>
      <w:spacing w:after="200" w:line="240" w:lineRule="auto"/>
    </w:pPr>
    <w:rPr>
      <w:rFonts w:asciiTheme="minorHAnsi" w:hAnsi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29E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2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29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901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2EBB"/>
    <w:pPr>
      <w:spacing w:after="0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2EBB"/>
    <w:rPr>
      <w:rFonts w:ascii="Times New Roman" w:hAnsi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12EBB"/>
    <w:pPr>
      <w:spacing w:after="0" w:line="240" w:lineRule="auto"/>
    </w:pPr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4F161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2772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772C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2772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772C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638"/>
    <w:pPr>
      <w:spacing w:after="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7ECB"/>
    <w:pPr>
      <w:spacing w:after="200"/>
      <w:ind w:left="720"/>
      <w:contextualSpacing/>
    </w:pPr>
    <w:rPr>
      <w:rFonts w:asciiTheme="minorHAnsi" w:hAnsiTheme="minorHAnsi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B702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29E"/>
    <w:pPr>
      <w:spacing w:after="200" w:line="240" w:lineRule="auto"/>
    </w:pPr>
    <w:rPr>
      <w:rFonts w:asciiTheme="minorHAnsi" w:hAnsi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29E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2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29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901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2EBB"/>
    <w:pPr>
      <w:spacing w:after="0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2EBB"/>
    <w:rPr>
      <w:rFonts w:ascii="Times New Roman" w:hAnsi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12EBB"/>
    <w:pPr>
      <w:spacing w:after="0" w:line="240" w:lineRule="auto"/>
    </w:pPr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4F161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2772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772C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2772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772C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signetwork.org/content_page_assets/content_page_66/adult%20learning%20Trivette%20and%20Dunst.pdf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94AAF-77D3-574E-994E-E1B423B25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697</Words>
  <Characters>3973</Characters>
  <Application>Microsoft Macintosh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Langham</dc:creator>
  <cp:lastModifiedBy>Teacher</cp:lastModifiedBy>
  <cp:revision>2</cp:revision>
  <cp:lastPrinted>2013-01-03T20:14:00Z</cp:lastPrinted>
  <dcterms:created xsi:type="dcterms:W3CDTF">2013-04-24T21:55:00Z</dcterms:created>
  <dcterms:modified xsi:type="dcterms:W3CDTF">2013-04-24T21:55:00Z</dcterms:modified>
</cp:coreProperties>
</file>