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261"/>
        <w:tblW w:w="137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1080"/>
        <w:gridCol w:w="990"/>
        <w:gridCol w:w="1440"/>
        <w:gridCol w:w="900"/>
        <w:gridCol w:w="1260"/>
        <w:gridCol w:w="1080"/>
        <w:gridCol w:w="1170"/>
      </w:tblGrid>
      <w:tr w:rsidR="00202CB3" w14:paraId="3401AB85" w14:textId="77777777" w:rsidTr="00AD77FF">
        <w:tc>
          <w:tcPr>
            <w:tcW w:w="1728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ED7A4C5" w14:textId="77777777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F72CE" w14:textId="6A3F70CF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E07A0" w14:textId="1893280A" w:rsidR="00202CB3" w:rsidRPr="001C38CB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1C38CB">
              <w:rPr>
                <w:rFonts w:ascii="Optima" w:hAnsi="Optima"/>
                <w:b/>
                <w:sz w:val="20"/>
                <w:szCs w:val="20"/>
              </w:rPr>
              <w:t>Equity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1BD55" w14:textId="2FF187CE" w:rsidR="00202CB3" w:rsidRPr="00F44367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PBIS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44FDC" w14:textId="0E3FA8F7" w:rsidR="00202CB3" w:rsidRPr="001C38CB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1C38CB">
              <w:rPr>
                <w:rFonts w:ascii="Optima" w:hAnsi="Optima"/>
                <w:b/>
                <w:sz w:val="20"/>
                <w:szCs w:val="20"/>
              </w:rPr>
              <w:t>ELL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FC2B3" w14:textId="5A7ADB98" w:rsidR="00202CB3" w:rsidRPr="001C38CB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1C38CB">
              <w:rPr>
                <w:rFonts w:ascii="Optima" w:hAnsi="Optima"/>
                <w:b/>
                <w:sz w:val="20"/>
                <w:szCs w:val="20"/>
              </w:rPr>
              <w:t>Economic Benefits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B8CF7" w14:textId="5306D382" w:rsidR="00202CB3" w:rsidRPr="00253D82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253D82">
              <w:rPr>
                <w:rFonts w:ascii="Optima" w:hAnsi="Optima"/>
                <w:b/>
                <w:sz w:val="20"/>
                <w:szCs w:val="20"/>
              </w:rPr>
              <w:t>Students in Poverty</w:t>
            </w:r>
          </w:p>
        </w:tc>
      </w:tr>
      <w:tr w:rsidR="00202CB3" w14:paraId="4FFC31EA" w14:textId="77777777" w:rsidTr="00AD77FF">
        <w:tc>
          <w:tcPr>
            <w:tcW w:w="17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E83205" w14:textId="3CD4DFF1" w:rsidR="00202CB3" w:rsidRPr="00202CB3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202CB3">
              <w:rPr>
                <w:rFonts w:ascii="Optima" w:hAnsi="Optima"/>
                <w:b/>
                <w:sz w:val="20"/>
                <w:szCs w:val="20"/>
              </w:rPr>
              <w:t>ORTIi Components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1DCF07" w14:textId="2C1E42FB" w:rsidR="00202CB3" w:rsidRPr="00202CB3" w:rsidRDefault="00202CB3" w:rsidP="00202CB3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202CB3">
              <w:rPr>
                <w:rFonts w:ascii="Optima" w:hAnsi="Optima"/>
                <w:b/>
                <w:sz w:val="20"/>
                <w:szCs w:val="20"/>
              </w:rPr>
              <w:t>Evidence-Based Strategies to Close the Academic Achievement Gap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67C11A70" w14:textId="6073C419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ODE Education Equity Unit</w:t>
            </w:r>
            <w:r>
              <w:rPr>
                <w:rStyle w:val="FootnoteReference"/>
                <w:rFonts w:ascii="Optima" w:hAnsi="Optima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53487738" w14:textId="0364C03C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proofErr w:type="gramStart"/>
            <w:r>
              <w:rPr>
                <w:rFonts w:ascii="Optima" w:hAnsi="Optima"/>
                <w:sz w:val="20"/>
                <w:szCs w:val="20"/>
              </w:rPr>
              <w:t>pbis.org</w:t>
            </w:r>
            <w:proofErr w:type="gramEnd"/>
            <w:r>
              <w:rPr>
                <w:rStyle w:val="FootnoteReference"/>
                <w:rFonts w:ascii="Optima" w:hAnsi="Optima"/>
                <w:sz w:val="20"/>
                <w:szCs w:val="20"/>
              </w:rPr>
              <w:footnoteReference w:id="2"/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759C24D8" w14:textId="64094928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 xml:space="preserve">IES ELL Practice Guides </w:t>
            </w:r>
          </w:p>
          <w:p w14:paraId="023E627E" w14:textId="2773890B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2007 &amp; 2014</w:t>
            </w:r>
            <w:r w:rsidRPr="00EC6A25">
              <w:rPr>
                <w:rStyle w:val="FootnoteReference"/>
                <w:rFonts w:ascii="Optima" w:hAnsi="Optima"/>
                <w:sz w:val="20"/>
                <w:szCs w:val="20"/>
              </w:rPr>
              <w:footnoteReference w:id="3"/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2E551E2B" w14:textId="45495BFB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NLP and CREDE, 2006</w:t>
            </w:r>
            <w:r w:rsidRPr="00EC6A25">
              <w:rPr>
                <w:rStyle w:val="FootnoteReference"/>
                <w:rFonts w:ascii="Optima" w:hAnsi="Optima"/>
                <w:sz w:val="20"/>
                <w:szCs w:val="20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14:paraId="1273196A" w14:textId="78D50B5C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American Institute for Research, 2012</w:t>
            </w:r>
            <w:r w:rsidRPr="00EC6A25">
              <w:rPr>
                <w:rStyle w:val="FootnoteReference"/>
                <w:rFonts w:ascii="Optima" w:hAnsi="Optima"/>
                <w:sz w:val="20"/>
                <w:szCs w:val="20"/>
              </w:rPr>
              <w:footnoteReference w:id="5"/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0D4E4C59" w14:textId="6D409F4C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Center for American Progress 2014</w:t>
            </w:r>
            <w:r>
              <w:rPr>
                <w:rStyle w:val="FootnoteReference"/>
                <w:rFonts w:ascii="Optima" w:hAnsi="Optima"/>
                <w:sz w:val="20"/>
                <w:szCs w:val="20"/>
              </w:rPr>
              <w:footnoteReference w:id="6"/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618C1D8D" w14:textId="632C193F" w:rsidR="00202CB3" w:rsidRPr="00EC6A25" w:rsidRDefault="00202CB3" w:rsidP="00202CB3">
            <w:pPr>
              <w:rPr>
                <w:rFonts w:ascii="Optima" w:hAnsi="Optima"/>
                <w:sz w:val="20"/>
                <w:szCs w:val="20"/>
              </w:rPr>
            </w:pPr>
            <w:proofErr w:type="spellStart"/>
            <w:r>
              <w:rPr>
                <w:rFonts w:ascii="Optima" w:hAnsi="Optima"/>
                <w:sz w:val="20"/>
                <w:szCs w:val="20"/>
              </w:rPr>
              <w:t>Edvantia</w:t>
            </w:r>
            <w:proofErr w:type="spellEnd"/>
            <w:r>
              <w:rPr>
                <w:rFonts w:ascii="Optima" w:hAnsi="Optima"/>
                <w:sz w:val="20"/>
                <w:szCs w:val="20"/>
              </w:rPr>
              <w:t xml:space="preserve"> 2012</w:t>
            </w:r>
            <w:r>
              <w:rPr>
                <w:rStyle w:val="FootnoteReference"/>
                <w:rFonts w:ascii="Optima" w:hAnsi="Optima"/>
                <w:sz w:val="20"/>
                <w:szCs w:val="20"/>
              </w:rPr>
              <w:footnoteReference w:id="7"/>
            </w:r>
          </w:p>
        </w:tc>
      </w:tr>
      <w:tr w:rsidR="00202CB3" w14:paraId="594944EF" w14:textId="77777777" w:rsidTr="00AD77FF">
        <w:tc>
          <w:tcPr>
            <w:tcW w:w="17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DB81AB" w14:textId="0B19DBC7" w:rsidR="00202CB3" w:rsidRPr="001C38CB" w:rsidRDefault="00202CB3" w:rsidP="00202CB3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CULTURE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0A4248" w14:textId="28AFC5B3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High Expectations/Standards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329D80" w14:textId="77777777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5AB3BE" w14:textId="57950F20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9D90BB" w14:textId="1E128A92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C64833" w14:textId="77777777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CCA671" w14:textId="7A402D61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BEFC91" w14:textId="77777777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EC3BA4" w14:textId="6E2B979E" w:rsidR="00202CB3" w:rsidRPr="00EC6A25" w:rsidRDefault="00202CB3" w:rsidP="00202CB3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</w:tr>
      <w:tr w:rsidR="00AD77FF" w14:paraId="062F3110" w14:textId="77777777" w:rsidTr="00AD77FF">
        <w:tc>
          <w:tcPr>
            <w:tcW w:w="1728" w:type="dxa"/>
            <w:tcBorders>
              <w:top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5820E7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2F32612" w14:textId="03B57F01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Parent and Community Engagement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5084673" w14:textId="64D60A66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9836F50" w14:textId="77777777" w:rsidR="00AD77FF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252191E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9A7190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A0356B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D2357B1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FE819B5" w14:textId="77777777" w:rsidR="00AD77FF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526ABA4F" w14:textId="77777777" w:rsidTr="00AD77FF">
        <w:tc>
          <w:tcPr>
            <w:tcW w:w="17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B559CF" w14:textId="6B9887CC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LEADERSHIP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08433431" w14:textId="4DC2A7E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Strong Leaders</w:t>
            </w:r>
          </w:p>
        </w:tc>
        <w:tc>
          <w:tcPr>
            <w:tcW w:w="1080" w:type="dxa"/>
            <w:vAlign w:val="center"/>
          </w:tcPr>
          <w:p w14:paraId="0E2DEA47" w14:textId="58BBC4B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6E1C008F" w14:textId="4CD122B9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35F50D" w14:textId="5AAE5C69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069E82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FBB033" w14:textId="3FB03C62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7630013" w14:textId="62F1B3F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06BD89" w14:textId="6D90FC4A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</w:tr>
      <w:tr w:rsidR="00AD77FF" w14:paraId="220FA878" w14:textId="77777777" w:rsidTr="00AD77FF">
        <w:tc>
          <w:tcPr>
            <w:tcW w:w="17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5F42A26" w14:textId="39345C99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TEAMING/DATA BASED DECISION MAKING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4301BC09" w14:textId="5A6E43D9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Data Based Decision Making</w:t>
            </w:r>
          </w:p>
        </w:tc>
        <w:tc>
          <w:tcPr>
            <w:tcW w:w="1080" w:type="dxa"/>
            <w:vAlign w:val="center"/>
          </w:tcPr>
          <w:p w14:paraId="07AC3958" w14:textId="36775B7B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F134BE3" w14:textId="24C93F7B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34978301" w14:textId="434E54A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89A01F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D0882C" w14:textId="532DBF7C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E5317BE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4C2C924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4002FD37" w14:textId="77777777" w:rsidTr="00AD77FF">
        <w:tc>
          <w:tcPr>
            <w:tcW w:w="17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37BADB" w14:textId="3884EC2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PROFESSIONAL LEARNING AND SUPPORT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5F0866FB" w14:textId="406F353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Professional Development/Teacher Feedback</w:t>
            </w:r>
          </w:p>
        </w:tc>
        <w:tc>
          <w:tcPr>
            <w:tcW w:w="1080" w:type="dxa"/>
            <w:vAlign w:val="center"/>
          </w:tcPr>
          <w:p w14:paraId="007388D9" w14:textId="1BFD48D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7D4BF51" w14:textId="7520A55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639C19" w14:textId="1253118B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686104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75ED2EA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5C7040" w14:textId="51800D2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A4B02BE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19BA254E" w14:textId="77777777" w:rsidTr="00AD77FF">
        <w:tc>
          <w:tcPr>
            <w:tcW w:w="1728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5114DE" w14:textId="5E647858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CORE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33F81D3A" w14:textId="71D3B19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Explicit Instruction around 5 big ideas of reading</w:t>
            </w:r>
          </w:p>
        </w:tc>
        <w:tc>
          <w:tcPr>
            <w:tcW w:w="1080" w:type="dxa"/>
            <w:vAlign w:val="center"/>
          </w:tcPr>
          <w:p w14:paraId="4C2AE872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2E8E49" w14:textId="6B558DB9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86011A" w14:textId="57BC344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FE523C7" w14:textId="594E6CB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549A6142" w14:textId="78643DDE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4BC5D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C1ED5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16458C52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CEACE4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2F88F8B2" w14:textId="7E9A843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High Quality Teachers/Effective Instruction</w:t>
            </w:r>
          </w:p>
        </w:tc>
        <w:tc>
          <w:tcPr>
            <w:tcW w:w="1080" w:type="dxa"/>
            <w:vAlign w:val="center"/>
          </w:tcPr>
          <w:p w14:paraId="79010EF0" w14:textId="5EE01AB3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302055E8" w14:textId="5FF3BDE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34B9960A" w14:textId="17158873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BDBB26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C17F83" w14:textId="77C984A2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6FAB372" w14:textId="66EB6003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5A04CBFC" w14:textId="3CD6E8C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</w:tr>
      <w:tr w:rsidR="00AD77FF" w14:paraId="569C4A20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4ECB49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68BAD07C" w14:textId="1D19360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Sheltered Instruction</w:t>
            </w:r>
          </w:p>
        </w:tc>
        <w:tc>
          <w:tcPr>
            <w:tcW w:w="1080" w:type="dxa"/>
            <w:vAlign w:val="center"/>
          </w:tcPr>
          <w:p w14:paraId="7AE4D0A4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D2F99E1" w14:textId="38A707D9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DD087A" w14:textId="52A6799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79B0B94" w14:textId="4C3F5EF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1218361D" w14:textId="38A66922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CE7BD8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35DB89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36D42520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E53351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54EE925A" w14:textId="030625B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Effective, predictable classroom management routines/Strong Relationships/PBIS</w:t>
            </w:r>
          </w:p>
        </w:tc>
        <w:tc>
          <w:tcPr>
            <w:tcW w:w="1080" w:type="dxa"/>
            <w:vAlign w:val="center"/>
          </w:tcPr>
          <w:p w14:paraId="2789D971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278D20" w14:textId="0C72165F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F715E0F" w14:textId="462F143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325DB6" w14:textId="1DE08EAE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7641D70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9F7A71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292FCC" w14:textId="1964889A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</w:tr>
      <w:tr w:rsidR="00AD77FF" w14:paraId="48B8CEB3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45A4A5D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7E4A95F3" w14:textId="06D995F3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Intensive Vocabulary Instruction</w:t>
            </w:r>
          </w:p>
        </w:tc>
        <w:tc>
          <w:tcPr>
            <w:tcW w:w="1080" w:type="dxa"/>
            <w:vAlign w:val="center"/>
          </w:tcPr>
          <w:p w14:paraId="14E24AE1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2FDAD1" w14:textId="6E67883C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E678CFB" w14:textId="635DC3D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5983CD8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630522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742F44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572449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17A1D34D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CA56C77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0700A25E" w14:textId="76E3CFB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Develop Academic English</w:t>
            </w:r>
          </w:p>
        </w:tc>
        <w:tc>
          <w:tcPr>
            <w:tcW w:w="1080" w:type="dxa"/>
            <w:vAlign w:val="center"/>
          </w:tcPr>
          <w:p w14:paraId="0B55C654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1153F0" w14:textId="485F4E9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61AF2A" w14:textId="09EA3C20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489AEE1" w14:textId="585320EB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7106D8A9" w14:textId="4D11B36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17A7097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F7C613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6F586BE2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439776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27CECADB" w14:textId="113ECCC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Integrate oral and written English Language instruction into content area teaching</w:t>
            </w:r>
          </w:p>
        </w:tc>
        <w:tc>
          <w:tcPr>
            <w:tcW w:w="1080" w:type="dxa"/>
            <w:vAlign w:val="center"/>
          </w:tcPr>
          <w:p w14:paraId="280F5953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B58563" w14:textId="74A63A16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48EDB4" w14:textId="05CE26DC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FD3EA6E" w14:textId="68B8C78D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5FD56835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86ED0D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54D1DD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13F999DC" w14:textId="77777777" w:rsidTr="00AD77FF">
        <w:tc>
          <w:tcPr>
            <w:tcW w:w="1728" w:type="dxa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755109" w14:textId="77777777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493A1518" w14:textId="09164C2F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Regular opportunities to develop written language skills</w:t>
            </w:r>
          </w:p>
        </w:tc>
        <w:tc>
          <w:tcPr>
            <w:tcW w:w="1080" w:type="dxa"/>
            <w:vAlign w:val="center"/>
          </w:tcPr>
          <w:p w14:paraId="63E348FA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0D5A78" w14:textId="6FE29E6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4482518" w14:textId="5ECAFB0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EC3DF5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5CBDD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D22E69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F967DF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2D8EA9ED" w14:textId="77777777" w:rsidTr="00AD77FF">
        <w:tc>
          <w:tcPr>
            <w:tcW w:w="17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173678" w14:textId="04BE5F93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UNIVERSAL SCREENING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1913CE41" w14:textId="2AB29552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Universal Screening</w:t>
            </w:r>
          </w:p>
        </w:tc>
        <w:tc>
          <w:tcPr>
            <w:tcW w:w="1080" w:type="dxa"/>
            <w:vAlign w:val="center"/>
          </w:tcPr>
          <w:p w14:paraId="6ACE04AE" w14:textId="566D208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C9B1003" w14:textId="21739955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7DC4AD6" w14:textId="17546B0A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92FC890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2E0777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78B18BF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247ACF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7080BC6B" w14:textId="77777777" w:rsidTr="00AD77FF">
        <w:tc>
          <w:tcPr>
            <w:tcW w:w="17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545A51" w14:textId="53BBDA0E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INTERVENTIONS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0C19A05C" w14:textId="750E05BA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Interventions/Increased Learning Time</w:t>
            </w:r>
          </w:p>
        </w:tc>
        <w:tc>
          <w:tcPr>
            <w:tcW w:w="1080" w:type="dxa"/>
            <w:vAlign w:val="center"/>
          </w:tcPr>
          <w:p w14:paraId="30F63762" w14:textId="3385397A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724DBEB" w14:textId="7C9666E4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298F1C" w14:textId="03C2117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B640D06" w14:textId="058B9C5E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38546F94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932494" w14:textId="4150CC56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49EF0726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</w:tr>
      <w:tr w:rsidR="00AD77FF" w14:paraId="1C298A73" w14:textId="77777777" w:rsidTr="00AD77FF">
        <w:tc>
          <w:tcPr>
            <w:tcW w:w="1728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E71EF3" w14:textId="68A92A9E" w:rsidR="00AD77FF" w:rsidRPr="001C38CB" w:rsidRDefault="00AD77FF" w:rsidP="00AD77FF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1C38CB">
              <w:rPr>
                <w:rFonts w:ascii="Optima" w:hAnsi="Optima"/>
                <w:sz w:val="18"/>
                <w:szCs w:val="18"/>
              </w:rPr>
              <w:t>PROGRESS MONITORING</w:t>
            </w:r>
          </w:p>
        </w:tc>
        <w:tc>
          <w:tcPr>
            <w:tcW w:w="4140" w:type="dxa"/>
            <w:tcBorders>
              <w:left w:val="double" w:sz="4" w:space="0" w:color="auto"/>
            </w:tcBorders>
            <w:vAlign w:val="center"/>
          </w:tcPr>
          <w:p w14:paraId="5519BA9E" w14:textId="35915E9B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Progress Monitoring</w:t>
            </w:r>
          </w:p>
        </w:tc>
        <w:tc>
          <w:tcPr>
            <w:tcW w:w="1080" w:type="dxa"/>
            <w:vAlign w:val="center"/>
          </w:tcPr>
          <w:p w14:paraId="4A30026E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1FCD3A" w14:textId="70B77C7F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193137" w14:textId="6C15B078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EC6A25">
              <w:rPr>
                <w:rFonts w:ascii="Optima" w:hAnsi="Optim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C81E172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B2C3C8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B6BDFC" w14:textId="77777777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E58C61" w14:textId="40D94DB1" w:rsidR="00AD77FF" w:rsidRPr="00EC6A25" w:rsidRDefault="00AD77FF" w:rsidP="00AD77FF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X</w:t>
            </w:r>
          </w:p>
        </w:tc>
      </w:tr>
    </w:tbl>
    <w:p w14:paraId="07B1D3D4" w14:textId="6816FC2B" w:rsidR="000C02F7" w:rsidRPr="00202CB3" w:rsidRDefault="00AD77FF" w:rsidP="00202CB3">
      <w:pPr>
        <w:jc w:val="center"/>
        <w:rPr>
          <w:b/>
        </w:rPr>
      </w:pPr>
      <w:r>
        <w:rPr>
          <w:b/>
        </w:rPr>
        <w:t>Recommended Evidence-</w:t>
      </w:r>
      <w:bookmarkStart w:id="0" w:name="_GoBack"/>
      <w:bookmarkEnd w:id="0"/>
      <w:r w:rsidR="00202CB3">
        <w:rPr>
          <w:b/>
        </w:rPr>
        <w:t>Based Strategies for Closing the Achievement Gap</w:t>
      </w:r>
    </w:p>
    <w:sectPr w:rsidR="000C02F7" w:rsidRPr="00202CB3" w:rsidSect="004E1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F001" w14:textId="77777777" w:rsidR="0007654A" w:rsidRDefault="0007654A" w:rsidP="006072D2">
      <w:r>
        <w:separator/>
      </w:r>
    </w:p>
  </w:endnote>
  <w:endnote w:type="continuationSeparator" w:id="0">
    <w:p w14:paraId="0CBC6C11" w14:textId="77777777" w:rsidR="0007654A" w:rsidRDefault="0007654A" w:rsidP="0060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79ED" w14:textId="77777777" w:rsidR="0007654A" w:rsidRDefault="0007654A" w:rsidP="006072D2">
      <w:r>
        <w:separator/>
      </w:r>
    </w:p>
  </w:footnote>
  <w:footnote w:type="continuationSeparator" w:id="0">
    <w:p w14:paraId="1F3A4382" w14:textId="77777777" w:rsidR="0007654A" w:rsidRDefault="0007654A" w:rsidP="006072D2">
      <w:r>
        <w:continuationSeparator/>
      </w:r>
    </w:p>
  </w:footnote>
  <w:footnote w:id="1">
    <w:p w14:paraId="5436E353" w14:textId="77777777" w:rsidR="00202CB3" w:rsidRPr="001A36CB" w:rsidRDefault="00202CB3" w:rsidP="00E92D0E">
      <w:pPr>
        <w:pStyle w:val="FootnoteText"/>
        <w:rPr>
          <w:sz w:val="18"/>
          <w:szCs w:val="18"/>
        </w:rPr>
      </w:pPr>
      <w:r w:rsidRPr="001A36CB">
        <w:rPr>
          <w:rStyle w:val="FootnoteReference"/>
          <w:sz w:val="20"/>
          <w:szCs w:val="20"/>
        </w:rPr>
        <w:footnoteRef/>
      </w:r>
      <w:r w:rsidRPr="001A36CB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Oregon Department of Education, Education Equity Unit, </w:t>
      </w:r>
      <w:r>
        <w:rPr>
          <w:i/>
          <w:sz w:val="18"/>
          <w:szCs w:val="18"/>
        </w:rPr>
        <w:t>7 Keys to Success – Closing the Achievement Gap</w:t>
      </w:r>
      <w:r>
        <w:rPr>
          <w:sz w:val="18"/>
          <w:szCs w:val="18"/>
        </w:rPr>
        <w:t xml:space="preserve">. </w:t>
      </w:r>
      <w:r w:rsidRPr="001A36CB">
        <w:rPr>
          <w:sz w:val="18"/>
          <w:szCs w:val="18"/>
        </w:rPr>
        <w:t>http://www.ode.state.or.us/search/results/?id=187</w:t>
      </w:r>
    </w:p>
  </w:footnote>
  <w:footnote w:id="2">
    <w:p w14:paraId="4B2F7A7D" w14:textId="542D8684" w:rsidR="00202CB3" w:rsidRPr="00D068AA" w:rsidRDefault="00202CB3">
      <w:pPr>
        <w:pStyle w:val="FootnoteText"/>
        <w:rPr>
          <w:sz w:val="18"/>
          <w:szCs w:val="18"/>
        </w:rPr>
      </w:pPr>
      <w:r w:rsidRPr="00DA13DC">
        <w:rPr>
          <w:rStyle w:val="FootnoteReference"/>
          <w:sz w:val="20"/>
          <w:szCs w:val="20"/>
        </w:rPr>
        <w:footnoteRef/>
      </w:r>
      <w:r w:rsidRPr="00DA13DC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McIntosh, </w:t>
      </w: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. Al. 2014. </w:t>
      </w:r>
      <w:proofErr w:type="gramStart"/>
      <w:r>
        <w:rPr>
          <w:i/>
          <w:sz w:val="18"/>
          <w:szCs w:val="18"/>
        </w:rPr>
        <w:t>Recommendations for Addressing Discipline Disproportionality in Education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Pr="00363E43">
        <w:rPr>
          <w:sz w:val="18"/>
          <w:szCs w:val="18"/>
        </w:rPr>
        <w:t>https://www.pbis.org/school/equity-pbis/recommendations</w:t>
      </w:r>
    </w:p>
  </w:footnote>
  <w:footnote w:id="3">
    <w:p w14:paraId="165D207F" w14:textId="70339571" w:rsidR="00202CB3" w:rsidRPr="00EC6A25" w:rsidRDefault="00202CB3" w:rsidP="00E92D0E">
      <w:pPr>
        <w:pStyle w:val="FootnoteText"/>
        <w:rPr>
          <w:rFonts w:ascii="Optima" w:hAnsi="Optima"/>
          <w:sz w:val="18"/>
          <w:szCs w:val="18"/>
        </w:rPr>
      </w:pPr>
      <w:r w:rsidRPr="00EC6A25">
        <w:rPr>
          <w:rStyle w:val="FootnoteReference"/>
          <w:rFonts w:ascii="Optima" w:hAnsi="Optima"/>
          <w:sz w:val="20"/>
          <w:szCs w:val="20"/>
        </w:rPr>
        <w:footnoteRef/>
      </w:r>
      <w:r w:rsidRPr="00EC6A25">
        <w:rPr>
          <w:rFonts w:ascii="Optima" w:hAnsi="Optima"/>
          <w:sz w:val="20"/>
          <w:szCs w:val="20"/>
        </w:rPr>
        <w:t xml:space="preserve"> </w:t>
      </w:r>
      <w:r w:rsidRPr="00EC6A25">
        <w:rPr>
          <w:rFonts w:ascii="Optima" w:hAnsi="Optima" w:cs="Georgia"/>
          <w:color w:val="343434"/>
          <w:sz w:val="18"/>
          <w:szCs w:val="18"/>
        </w:rPr>
        <w:t>U.S. Department of Education, Institute of Education Sciences, National Center for Education Evaluation and Regional Assistance, What Works Clearinghouse</w:t>
      </w:r>
    </w:p>
  </w:footnote>
  <w:footnote w:id="4">
    <w:p w14:paraId="2A5A84FA" w14:textId="3198853D" w:rsidR="00202CB3" w:rsidRPr="00EC6A25" w:rsidRDefault="00202CB3" w:rsidP="00E92D0E">
      <w:pPr>
        <w:pStyle w:val="NormalWeb"/>
        <w:spacing w:before="0" w:beforeAutospacing="0" w:after="0" w:afterAutospacing="0"/>
        <w:rPr>
          <w:rFonts w:ascii="Optima" w:hAnsi="Optima"/>
          <w:sz w:val="18"/>
          <w:szCs w:val="18"/>
        </w:rPr>
      </w:pPr>
      <w:r w:rsidRPr="00EC6A25">
        <w:rPr>
          <w:rStyle w:val="FootnoteReference"/>
          <w:rFonts w:ascii="Optima" w:hAnsi="Optima"/>
        </w:rPr>
        <w:footnoteRef/>
      </w:r>
      <w:r w:rsidRPr="00EC6A25">
        <w:rPr>
          <w:rFonts w:ascii="Optima" w:hAnsi="Optima"/>
          <w:sz w:val="18"/>
          <w:szCs w:val="18"/>
        </w:rPr>
        <w:t xml:space="preserve"> August, D. and Shanahan, T., </w:t>
      </w:r>
      <w:proofErr w:type="gramStart"/>
      <w:r w:rsidRPr="00EC6A25">
        <w:rPr>
          <w:rFonts w:ascii="Optima" w:hAnsi="Optima"/>
          <w:sz w:val="18"/>
          <w:szCs w:val="18"/>
        </w:rPr>
        <w:t>eds</w:t>
      </w:r>
      <w:proofErr w:type="gramEnd"/>
      <w:r w:rsidRPr="00EC6A25">
        <w:rPr>
          <w:rFonts w:ascii="Optima" w:hAnsi="Optima"/>
          <w:sz w:val="18"/>
          <w:szCs w:val="18"/>
        </w:rPr>
        <w:t xml:space="preserve">. 2006.  </w:t>
      </w:r>
      <w:r w:rsidRPr="00EC6A25">
        <w:rPr>
          <w:rFonts w:ascii="Optima" w:hAnsi="Optima"/>
          <w:bCs/>
          <w:i/>
          <w:sz w:val="18"/>
          <w:szCs w:val="18"/>
        </w:rPr>
        <w:t>Developing Literacy in Second-Language Learners: Report of the National Literacy Panel on Language-Minority Children and Youth</w:t>
      </w:r>
      <w:r w:rsidRPr="00EC6A25">
        <w:rPr>
          <w:rFonts w:ascii="Optima" w:hAnsi="Optima"/>
          <w:bCs/>
          <w:sz w:val="18"/>
          <w:szCs w:val="18"/>
        </w:rPr>
        <w:t xml:space="preserve">, Mahwah, NJ: Lawrence </w:t>
      </w:r>
      <w:proofErr w:type="spellStart"/>
      <w:r w:rsidRPr="00EC6A25">
        <w:rPr>
          <w:rFonts w:ascii="Optima" w:hAnsi="Optima"/>
          <w:bCs/>
          <w:sz w:val="18"/>
          <w:szCs w:val="18"/>
        </w:rPr>
        <w:t>Eribaum</w:t>
      </w:r>
      <w:proofErr w:type="spellEnd"/>
      <w:r w:rsidRPr="00EC6A25">
        <w:rPr>
          <w:rFonts w:ascii="Optima" w:hAnsi="Optima"/>
          <w:bCs/>
          <w:sz w:val="18"/>
          <w:szCs w:val="18"/>
        </w:rPr>
        <w:t xml:space="preserve">. &amp; Center for Research on Education, Diversity, and Excellence (CREDE) report:  Genesee, F., </w:t>
      </w:r>
      <w:proofErr w:type="spellStart"/>
      <w:r w:rsidRPr="00EC6A25">
        <w:rPr>
          <w:rFonts w:ascii="Optima" w:hAnsi="Optima"/>
          <w:bCs/>
          <w:sz w:val="18"/>
          <w:szCs w:val="18"/>
        </w:rPr>
        <w:t>Lindholm</w:t>
      </w:r>
      <w:proofErr w:type="spellEnd"/>
      <w:r w:rsidRPr="00EC6A25">
        <w:rPr>
          <w:rFonts w:ascii="Optima" w:hAnsi="Optima"/>
          <w:bCs/>
          <w:sz w:val="18"/>
          <w:szCs w:val="18"/>
        </w:rPr>
        <w:t xml:space="preserve">-Leary, K., Saunders, W., and Christian, D. 2006.  </w:t>
      </w:r>
      <w:r w:rsidRPr="00EC6A25">
        <w:rPr>
          <w:rFonts w:ascii="Optima" w:hAnsi="Optima"/>
          <w:bCs/>
          <w:i/>
          <w:sz w:val="18"/>
          <w:szCs w:val="18"/>
        </w:rPr>
        <w:t xml:space="preserve">Educating English Language Learners, </w:t>
      </w:r>
      <w:r w:rsidRPr="00EC6A25">
        <w:rPr>
          <w:rFonts w:ascii="Optima" w:hAnsi="Optima"/>
          <w:bCs/>
          <w:sz w:val="18"/>
          <w:szCs w:val="18"/>
        </w:rPr>
        <w:t>New York: Cambridge University Press.</w:t>
      </w:r>
    </w:p>
  </w:footnote>
  <w:footnote w:id="5">
    <w:p w14:paraId="3AE23258" w14:textId="7E533FDE" w:rsidR="00202CB3" w:rsidRPr="00253D82" w:rsidRDefault="00202CB3" w:rsidP="00E92D0E">
      <w:pPr>
        <w:pStyle w:val="FootnoteText"/>
        <w:rPr>
          <w:sz w:val="18"/>
          <w:szCs w:val="18"/>
        </w:rPr>
      </w:pPr>
      <w:r w:rsidRPr="00EC6A25">
        <w:rPr>
          <w:rStyle w:val="FootnoteReference"/>
          <w:sz w:val="20"/>
          <w:szCs w:val="20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August, D.,</w:t>
      </w:r>
      <w:r w:rsidRPr="00EC6A25">
        <w:rPr>
          <w:sz w:val="18"/>
          <w:szCs w:val="18"/>
        </w:rPr>
        <w:t xml:space="preserve"> Estrada, J, and Boyle, A. 2012.</w:t>
      </w:r>
      <w:proofErr w:type="gramEnd"/>
      <w:r w:rsidRPr="00EC6A25">
        <w:rPr>
          <w:sz w:val="18"/>
          <w:szCs w:val="18"/>
        </w:rPr>
        <w:t xml:space="preserve"> </w:t>
      </w:r>
      <w:r w:rsidRPr="00EC6A25">
        <w:rPr>
          <w:i/>
          <w:sz w:val="18"/>
          <w:szCs w:val="18"/>
        </w:rPr>
        <w:t xml:space="preserve">Supporting English Language Learners, A Pocket Guide for State and District Leaders, </w:t>
      </w:r>
      <w:r w:rsidRPr="00EC6A25">
        <w:rPr>
          <w:sz w:val="18"/>
          <w:szCs w:val="18"/>
        </w:rPr>
        <w:t>Washington DC: American Institute for Research.</w:t>
      </w:r>
    </w:p>
  </w:footnote>
  <w:footnote w:id="6">
    <w:p w14:paraId="01FF6FA5" w14:textId="31269F10" w:rsidR="00202CB3" w:rsidRPr="00DC6061" w:rsidRDefault="00202CB3" w:rsidP="00E92D0E">
      <w:pPr>
        <w:pStyle w:val="FootnoteText"/>
        <w:rPr>
          <w:sz w:val="18"/>
          <w:szCs w:val="18"/>
        </w:rPr>
      </w:pPr>
      <w:r w:rsidRPr="00DC6061">
        <w:rPr>
          <w:rStyle w:val="FootnoteReference"/>
          <w:sz w:val="20"/>
          <w:szCs w:val="20"/>
        </w:rPr>
        <w:footnoteRef/>
      </w:r>
      <w:r w:rsidRPr="00DC6061">
        <w:rPr>
          <w:sz w:val="20"/>
          <w:szCs w:val="20"/>
        </w:rPr>
        <w:t xml:space="preserve"> </w:t>
      </w:r>
      <w:r w:rsidRPr="00DC6061">
        <w:rPr>
          <w:sz w:val="18"/>
          <w:szCs w:val="18"/>
        </w:rPr>
        <w:t xml:space="preserve">Lynch, Robert G., and </w:t>
      </w:r>
      <w:proofErr w:type="spellStart"/>
      <w:r w:rsidRPr="00DC6061">
        <w:rPr>
          <w:sz w:val="18"/>
          <w:szCs w:val="18"/>
        </w:rPr>
        <w:t>Oakford</w:t>
      </w:r>
      <w:proofErr w:type="spellEnd"/>
      <w:r w:rsidRPr="00DC6061">
        <w:rPr>
          <w:sz w:val="18"/>
          <w:szCs w:val="18"/>
        </w:rPr>
        <w:t>, Patrick</w:t>
      </w:r>
      <w:r>
        <w:rPr>
          <w:sz w:val="18"/>
          <w:szCs w:val="18"/>
        </w:rPr>
        <w:t xml:space="preserve">, 2014.  </w:t>
      </w:r>
      <w:r>
        <w:rPr>
          <w:i/>
          <w:sz w:val="18"/>
          <w:szCs w:val="18"/>
        </w:rPr>
        <w:t xml:space="preserve">The Economic Benefits of Closing Educational Achievement Gaps, </w:t>
      </w:r>
      <w:r>
        <w:rPr>
          <w:sz w:val="18"/>
          <w:szCs w:val="18"/>
        </w:rPr>
        <w:t>Washington DC: Center for American Progress</w:t>
      </w:r>
    </w:p>
  </w:footnote>
  <w:footnote w:id="7">
    <w:p w14:paraId="2DD182CB" w14:textId="4521285B" w:rsidR="00202CB3" w:rsidRPr="00253D82" w:rsidRDefault="00202CB3" w:rsidP="00E92D0E">
      <w:pPr>
        <w:pStyle w:val="FootnoteText"/>
        <w:rPr>
          <w:sz w:val="18"/>
          <w:szCs w:val="18"/>
        </w:rPr>
      </w:pPr>
      <w:r w:rsidRPr="00DA13DC"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18"/>
          <w:szCs w:val="18"/>
        </w:rPr>
        <w:t xml:space="preserve">Stone, Zachary, Barron, Karen, and Finch, Nicole, 2012. </w:t>
      </w:r>
      <w:r w:rsidRPr="00253D82">
        <w:rPr>
          <w:i/>
          <w:sz w:val="18"/>
          <w:szCs w:val="18"/>
        </w:rPr>
        <w:t>Effective and Promising Practices for Closing Achievement Gaps,</w:t>
      </w:r>
      <w:r>
        <w:rPr>
          <w:sz w:val="18"/>
          <w:szCs w:val="18"/>
        </w:rPr>
        <w:t xml:space="preserve"> Nashville: Appalachia Regional Comprehensive Center at </w:t>
      </w:r>
      <w:proofErr w:type="spellStart"/>
      <w:r>
        <w:rPr>
          <w:sz w:val="18"/>
          <w:szCs w:val="18"/>
        </w:rPr>
        <w:t>Edvantia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97"/>
    <w:rsid w:val="0003013D"/>
    <w:rsid w:val="0007576D"/>
    <w:rsid w:val="0007654A"/>
    <w:rsid w:val="000C02F7"/>
    <w:rsid w:val="000D2E68"/>
    <w:rsid w:val="001000FB"/>
    <w:rsid w:val="001A36CB"/>
    <w:rsid w:val="001B2CA7"/>
    <w:rsid w:val="001B4593"/>
    <w:rsid w:val="001C38CB"/>
    <w:rsid w:val="00202CB3"/>
    <w:rsid w:val="00253D82"/>
    <w:rsid w:val="002B5C37"/>
    <w:rsid w:val="00310520"/>
    <w:rsid w:val="00363E43"/>
    <w:rsid w:val="0036536D"/>
    <w:rsid w:val="003A549C"/>
    <w:rsid w:val="004E1599"/>
    <w:rsid w:val="006072D2"/>
    <w:rsid w:val="00646610"/>
    <w:rsid w:val="00744284"/>
    <w:rsid w:val="00A06E97"/>
    <w:rsid w:val="00AB2AA9"/>
    <w:rsid w:val="00AD77FF"/>
    <w:rsid w:val="00B3467B"/>
    <w:rsid w:val="00BF07D0"/>
    <w:rsid w:val="00C92152"/>
    <w:rsid w:val="00D068AA"/>
    <w:rsid w:val="00D929A1"/>
    <w:rsid w:val="00DA13DC"/>
    <w:rsid w:val="00DC6061"/>
    <w:rsid w:val="00E92D0E"/>
    <w:rsid w:val="00EC6A25"/>
    <w:rsid w:val="00ED74AE"/>
    <w:rsid w:val="00EE441B"/>
    <w:rsid w:val="00F30725"/>
    <w:rsid w:val="00F44367"/>
    <w:rsid w:val="00F64E60"/>
    <w:rsid w:val="00F93FBA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F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6072D2"/>
  </w:style>
  <w:style w:type="character" w:customStyle="1" w:styleId="EndnoteTextChar">
    <w:name w:val="Endnote Text Char"/>
    <w:basedOn w:val="DefaultParagraphFont"/>
    <w:link w:val="EndnoteText"/>
    <w:uiPriority w:val="99"/>
    <w:rsid w:val="006072D2"/>
  </w:style>
  <w:style w:type="character" w:styleId="EndnoteReference">
    <w:name w:val="endnote reference"/>
    <w:basedOn w:val="DefaultParagraphFont"/>
    <w:uiPriority w:val="99"/>
    <w:unhideWhenUsed/>
    <w:rsid w:val="00607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2D2"/>
  </w:style>
  <w:style w:type="character" w:customStyle="1" w:styleId="FootnoteTextChar">
    <w:name w:val="Footnote Text Char"/>
    <w:basedOn w:val="DefaultParagraphFont"/>
    <w:link w:val="FootnoteText"/>
    <w:uiPriority w:val="99"/>
    <w:rsid w:val="006072D2"/>
  </w:style>
  <w:style w:type="character" w:styleId="FootnoteReference">
    <w:name w:val="footnote reference"/>
    <w:basedOn w:val="DefaultParagraphFont"/>
    <w:uiPriority w:val="99"/>
    <w:unhideWhenUsed/>
    <w:rsid w:val="006072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2C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6072D2"/>
  </w:style>
  <w:style w:type="character" w:customStyle="1" w:styleId="EndnoteTextChar">
    <w:name w:val="Endnote Text Char"/>
    <w:basedOn w:val="DefaultParagraphFont"/>
    <w:link w:val="EndnoteText"/>
    <w:uiPriority w:val="99"/>
    <w:rsid w:val="006072D2"/>
  </w:style>
  <w:style w:type="character" w:styleId="EndnoteReference">
    <w:name w:val="endnote reference"/>
    <w:basedOn w:val="DefaultParagraphFont"/>
    <w:uiPriority w:val="99"/>
    <w:unhideWhenUsed/>
    <w:rsid w:val="00607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2D2"/>
  </w:style>
  <w:style w:type="character" w:customStyle="1" w:styleId="FootnoteTextChar">
    <w:name w:val="Footnote Text Char"/>
    <w:basedOn w:val="DefaultParagraphFont"/>
    <w:link w:val="FootnoteText"/>
    <w:uiPriority w:val="99"/>
    <w:rsid w:val="006072D2"/>
  </w:style>
  <w:style w:type="character" w:styleId="FootnoteReference">
    <w:name w:val="footnote reference"/>
    <w:basedOn w:val="DefaultParagraphFont"/>
    <w:uiPriority w:val="99"/>
    <w:unhideWhenUsed/>
    <w:rsid w:val="006072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2C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15B9C-7A14-F547-82DA-165D537A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22</cp:revision>
  <dcterms:created xsi:type="dcterms:W3CDTF">2014-12-10T20:55:00Z</dcterms:created>
  <dcterms:modified xsi:type="dcterms:W3CDTF">2014-12-16T16:11:00Z</dcterms:modified>
</cp:coreProperties>
</file>