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829" w:tblpY="1981"/>
        <w:tblW w:w="10728" w:type="dxa"/>
        <w:tblCellMar>
          <w:top w:w="15" w:type="dxa"/>
          <w:left w:w="15" w:type="dxa"/>
          <w:bottom w:w="15" w:type="dxa"/>
          <w:right w:w="15" w:type="dxa"/>
        </w:tblCellMar>
        <w:tblLook w:val="04A0" w:firstRow="1" w:lastRow="0" w:firstColumn="1" w:lastColumn="0" w:noHBand="0" w:noVBand="1"/>
      </w:tblPr>
      <w:tblGrid>
        <w:gridCol w:w="8854"/>
        <w:gridCol w:w="1874"/>
      </w:tblGrid>
      <w:tr w:rsidR="005D5DF0" w:rsidRPr="005334E8" w14:paraId="64D243C1" w14:textId="77777777" w:rsidTr="005B66D6">
        <w:trPr>
          <w:trHeight w:val="394"/>
        </w:trPr>
        <w:tc>
          <w:tcPr>
            <w:tcW w:w="88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5206B097" w14:textId="77777777" w:rsidR="005D5DF0" w:rsidRPr="006373B8" w:rsidRDefault="005D5DF0" w:rsidP="00B61243">
            <w:pPr>
              <w:jc w:val="center"/>
              <w:rPr>
                <w:rFonts w:ascii="Times" w:hAnsi="Times" w:cs="Times New Roman"/>
                <w:sz w:val="36"/>
                <w:szCs w:val="36"/>
              </w:rPr>
            </w:pPr>
            <w:r w:rsidRPr="006373B8">
              <w:rPr>
                <w:rFonts w:ascii="Times New Roman" w:hAnsi="Times New Roman" w:cs="Times New Roman"/>
                <w:color w:val="000000"/>
                <w:sz w:val="36"/>
                <w:szCs w:val="36"/>
              </w:rPr>
              <w:t>Definition</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5B17B40" w14:textId="77777777" w:rsidR="005D5DF0" w:rsidRPr="004014C6" w:rsidRDefault="005D5DF0" w:rsidP="00B61243">
            <w:pPr>
              <w:jc w:val="center"/>
              <w:rPr>
                <w:rFonts w:ascii="Times" w:hAnsi="Times" w:cs="Times New Roman"/>
                <w:sz w:val="20"/>
                <w:szCs w:val="20"/>
              </w:rPr>
            </w:pPr>
            <w:r w:rsidRPr="004014C6">
              <w:rPr>
                <w:rFonts w:ascii="Times New Roman" w:hAnsi="Times New Roman" w:cs="Times New Roman"/>
                <w:color w:val="000000"/>
                <w:sz w:val="20"/>
                <w:szCs w:val="20"/>
              </w:rPr>
              <w:t>How is your school/district doing?</w:t>
            </w:r>
          </w:p>
        </w:tc>
      </w:tr>
      <w:tr w:rsidR="005D5DF0" w:rsidRPr="005334E8" w14:paraId="2033F4A5" w14:textId="77777777" w:rsidTr="005B66D6">
        <w:trPr>
          <w:trHeight w:val="1498"/>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E2677" w14:textId="5B0BC98F" w:rsidR="005D5DF0" w:rsidRPr="0018364E" w:rsidRDefault="005D5DF0" w:rsidP="00D73CA0">
            <w:pPr>
              <w:widowControl w:val="0"/>
              <w:autoSpaceDE w:val="0"/>
              <w:autoSpaceDN w:val="0"/>
              <w:adjustRightInd w:val="0"/>
              <w:spacing w:after="240"/>
              <w:rPr>
                <w:rFonts w:ascii="Times" w:hAnsi="Times" w:cs="Times"/>
                <w:b/>
                <w:color w:val="000000"/>
                <w:sz w:val="32"/>
                <w:szCs w:val="32"/>
                <w:u w:val="single"/>
              </w:rPr>
            </w:pPr>
            <w:r w:rsidRPr="004014C6">
              <w:rPr>
                <w:rFonts w:ascii="Times" w:hAnsi="Times" w:cs="Times"/>
                <w:b/>
                <w:color w:val="000000"/>
                <w:sz w:val="28"/>
                <w:szCs w:val="28"/>
                <w:u w:val="single"/>
              </w:rPr>
              <w:t>Practice 1: Provide Explicit Instruction in Literacy Comp</w:t>
            </w:r>
            <w:r>
              <w:rPr>
                <w:rFonts w:ascii="Times" w:hAnsi="Times" w:cs="Times"/>
                <w:b/>
                <w:color w:val="000000"/>
                <w:sz w:val="28"/>
                <w:szCs w:val="28"/>
                <w:u w:val="single"/>
              </w:rPr>
              <w:t>onents</w:t>
            </w:r>
            <w:r w:rsidRPr="004014C6">
              <w:rPr>
                <w:rFonts w:ascii="Times" w:hAnsi="Times" w:cs="Times"/>
                <w:b/>
                <w:color w:val="000000"/>
                <w:sz w:val="28"/>
                <w:szCs w:val="28"/>
                <w:u w:val="single"/>
              </w:rPr>
              <w:t xml:space="preserve"> </w:t>
            </w:r>
            <w:r w:rsidRPr="0018364E">
              <w:rPr>
                <w:rFonts w:ascii="Times" w:hAnsi="Times" w:cs="Times"/>
                <w:color w:val="000000"/>
                <w:sz w:val="22"/>
                <w:szCs w:val="22"/>
              </w:rPr>
              <w:t>Explicit classroom instruction focused on developing key aspects of literacy—phonemic awareness, phonics, oral reading fluency, vocabulary</w:t>
            </w:r>
            <w:r w:rsidR="0022717C">
              <w:rPr>
                <w:rFonts w:ascii="Times" w:hAnsi="Times" w:cs="Times"/>
                <w:color w:val="000000"/>
                <w:sz w:val="22"/>
                <w:szCs w:val="22"/>
              </w:rPr>
              <w:t xml:space="preserve">, and </w:t>
            </w:r>
            <w:r w:rsidR="0022717C" w:rsidRPr="00D73CA0">
              <w:rPr>
                <w:rFonts w:ascii="Times" w:hAnsi="Times" w:cs="Times"/>
                <w:sz w:val="22"/>
                <w:szCs w:val="22"/>
              </w:rPr>
              <w:t>comprehension</w:t>
            </w:r>
            <w:r w:rsidRPr="0018364E">
              <w:rPr>
                <w:rFonts w:ascii="Times" w:hAnsi="Times" w:cs="Times"/>
                <w:color w:val="000000"/>
                <w:sz w:val="22"/>
                <w:szCs w:val="22"/>
              </w:rPr>
              <w:t xml:space="preserve">—provides clear learning benefits for elementary school-aged ELs. More recent studies report similar findings (e.g., </w:t>
            </w:r>
            <w:proofErr w:type="spellStart"/>
            <w:r w:rsidRPr="0018364E">
              <w:rPr>
                <w:rFonts w:ascii="Times" w:hAnsi="Times" w:cs="Times"/>
                <w:color w:val="000000"/>
                <w:sz w:val="22"/>
                <w:szCs w:val="22"/>
              </w:rPr>
              <w:t>Llosa</w:t>
            </w:r>
            <w:proofErr w:type="spellEnd"/>
            <w:r w:rsidRPr="0018364E">
              <w:rPr>
                <w:rFonts w:ascii="Times" w:hAnsi="Times" w:cs="Times"/>
                <w:color w:val="000000"/>
                <w:sz w:val="22"/>
                <w:szCs w:val="22"/>
              </w:rPr>
              <w:t xml:space="preserve"> et al., 2016; Tong et al., 2014</w:t>
            </w:r>
            <w:r w:rsidR="00D73CA0">
              <w:rPr>
                <w:rFonts w:ascii="Times" w:hAnsi="Times" w:cs="Times"/>
                <w:color w:val="000000"/>
                <w:sz w:val="22"/>
                <w:szCs w:val="22"/>
              </w:rPr>
              <w:t>)</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69DE4" w14:textId="77777777" w:rsidR="005D5DF0" w:rsidRPr="005334E8" w:rsidRDefault="005D5DF0" w:rsidP="00B61243">
            <w:pPr>
              <w:rPr>
                <w:rFonts w:ascii="Times" w:eastAsia="Times New Roman" w:hAnsi="Times" w:cs="Times New Roman"/>
                <w:sz w:val="1"/>
                <w:szCs w:val="20"/>
              </w:rPr>
            </w:pPr>
          </w:p>
        </w:tc>
      </w:tr>
      <w:tr w:rsidR="005D5DF0" w:rsidRPr="005334E8" w14:paraId="1C3F7438" w14:textId="77777777" w:rsidTr="005B66D6">
        <w:trPr>
          <w:trHeight w:val="2037"/>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D15FE" w14:textId="3DC82717" w:rsidR="005D5DF0" w:rsidRPr="00C0757F" w:rsidRDefault="005D5DF0" w:rsidP="00D73CA0">
            <w:r w:rsidRPr="004014C6">
              <w:rPr>
                <w:rFonts w:ascii="Times" w:hAnsi="Times" w:cs="Times"/>
                <w:b/>
                <w:color w:val="000000"/>
                <w:sz w:val="28"/>
                <w:szCs w:val="28"/>
                <w:u w:val="single"/>
              </w:rPr>
              <w:t>Practice 2: Develop Academic Language During Content Area Instruction</w:t>
            </w:r>
            <w:r w:rsidRPr="00087009">
              <w:rPr>
                <w:rFonts w:ascii="Times" w:hAnsi="Times" w:cs="Times"/>
                <w:b/>
                <w:color w:val="000000"/>
                <w:sz w:val="32"/>
                <w:szCs w:val="32"/>
                <w:u w:val="single"/>
              </w:rPr>
              <w:t xml:space="preserve"> </w:t>
            </w:r>
            <w:r w:rsidRPr="0018364E">
              <w:rPr>
                <w:rFonts w:ascii="Times" w:hAnsi="Times" w:cs="Times"/>
                <w:color w:val="000000"/>
                <w:sz w:val="22"/>
                <w:szCs w:val="22"/>
              </w:rPr>
              <w:t xml:space="preserve">Academic language is the language used in school, in written communications, in public presentations, and in formal settings (Snow and </w:t>
            </w:r>
            <w:proofErr w:type="spellStart"/>
            <w:r w:rsidRPr="0018364E">
              <w:rPr>
                <w:rFonts w:ascii="Times" w:hAnsi="Times" w:cs="Times"/>
                <w:color w:val="000000"/>
                <w:sz w:val="22"/>
                <w:szCs w:val="22"/>
              </w:rPr>
              <w:t>Uccelli</w:t>
            </w:r>
            <w:proofErr w:type="spellEnd"/>
            <w:r w:rsidRPr="0018364E">
              <w:rPr>
                <w:rFonts w:ascii="Times" w:hAnsi="Times" w:cs="Times"/>
                <w:color w:val="000000"/>
                <w:sz w:val="22"/>
                <w:szCs w:val="22"/>
              </w:rPr>
              <w:t xml:space="preserve">, 2009).  Bailey (2007, pp. 10-11) defines being academically proficient as “knowing and being able to use general and academic vocabulary, specialized or complex grammatical structures, </w:t>
            </w:r>
            <w:r w:rsidR="00D73CA0">
              <w:rPr>
                <w:rFonts w:ascii="Times" w:hAnsi="Times" w:cs="Times"/>
                <w:color w:val="000000"/>
                <w:sz w:val="22"/>
                <w:szCs w:val="22"/>
              </w:rPr>
              <w:t>…</w:t>
            </w:r>
            <w:r w:rsidRPr="0018364E">
              <w:rPr>
                <w:rFonts w:ascii="Times" w:hAnsi="Times" w:cs="Times"/>
                <w:color w:val="000000"/>
                <w:sz w:val="22"/>
                <w:szCs w:val="22"/>
              </w:rPr>
              <w:t>and discourse structures—all for the purpose of acquiring new knowledge and skills, interacting about a topic, imparting information to others.”</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15FA8" w14:textId="77777777" w:rsidR="005D5DF0" w:rsidRPr="005334E8" w:rsidRDefault="005D5DF0" w:rsidP="00B61243">
            <w:pPr>
              <w:rPr>
                <w:rFonts w:ascii="Times" w:eastAsia="Times New Roman" w:hAnsi="Times" w:cs="Times New Roman"/>
                <w:sz w:val="1"/>
                <w:szCs w:val="20"/>
              </w:rPr>
            </w:pPr>
          </w:p>
        </w:tc>
      </w:tr>
      <w:tr w:rsidR="005D5DF0" w:rsidRPr="005334E8" w14:paraId="64C79A5B" w14:textId="77777777" w:rsidTr="005B66D6">
        <w:trPr>
          <w:trHeight w:val="1498"/>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A470F" w14:textId="77777777" w:rsidR="005D5DF0" w:rsidRPr="0018364E" w:rsidRDefault="005D5DF0" w:rsidP="00B61243">
            <w:pPr>
              <w:widowControl w:val="0"/>
              <w:autoSpaceDE w:val="0"/>
              <w:autoSpaceDN w:val="0"/>
              <w:adjustRightInd w:val="0"/>
              <w:spacing w:after="240"/>
              <w:rPr>
                <w:rFonts w:ascii="Times" w:hAnsi="Times" w:cs="Times"/>
                <w:b/>
                <w:color w:val="000000"/>
                <w:u w:val="single"/>
              </w:rPr>
            </w:pPr>
            <w:r w:rsidRPr="004014C6">
              <w:rPr>
                <w:rFonts w:ascii="Times" w:hAnsi="Times" w:cs="Times"/>
                <w:b/>
                <w:color w:val="000000"/>
                <w:sz w:val="28"/>
                <w:szCs w:val="28"/>
                <w:u w:val="single"/>
              </w:rPr>
              <w:t>Practice 3: Provide Visual and Verbal Supports to Make Core Content Comprehensible</w:t>
            </w:r>
            <w:r>
              <w:rPr>
                <w:rFonts w:ascii="Times" w:hAnsi="Times" w:cs="Times"/>
                <w:b/>
                <w:color w:val="000000"/>
                <w:u w:val="single"/>
              </w:rPr>
              <w:t xml:space="preserve"> </w:t>
            </w:r>
            <w:r w:rsidRPr="0018364E">
              <w:rPr>
                <w:rFonts w:ascii="Times" w:hAnsi="Times" w:cs="Times"/>
                <w:color w:val="000000"/>
                <w:sz w:val="22"/>
                <w:szCs w:val="22"/>
              </w:rPr>
              <w:t>A third practice linked to positive outcomes in the development of content area knowledge in ELs is using methods that help make core content in English comprehensible. One set of methods includes the strategic use of such instructional tools as short videos, visuals, and graphic organizers.</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4E590" w14:textId="77777777" w:rsidR="005D5DF0" w:rsidRPr="005334E8" w:rsidRDefault="005D5DF0" w:rsidP="00B61243">
            <w:pPr>
              <w:rPr>
                <w:rFonts w:ascii="Times" w:eastAsia="Times New Roman" w:hAnsi="Times" w:cs="Times New Roman"/>
                <w:sz w:val="20"/>
                <w:szCs w:val="20"/>
              </w:rPr>
            </w:pPr>
            <w:r>
              <w:rPr>
                <w:rFonts w:ascii="Times" w:eastAsia="Times New Roman" w:hAnsi="Times" w:cs="Times New Roman"/>
                <w:sz w:val="20"/>
                <w:szCs w:val="20"/>
              </w:rPr>
              <w:t xml:space="preserve"> </w:t>
            </w:r>
          </w:p>
        </w:tc>
      </w:tr>
      <w:tr w:rsidR="005D5DF0" w:rsidRPr="005334E8" w14:paraId="707AC262" w14:textId="77777777" w:rsidTr="005B66D6">
        <w:trPr>
          <w:trHeight w:val="1417"/>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9751E" w14:textId="75BCAB14" w:rsidR="008A19AF" w:rsidRPr="00D73CA0" w:rsidRDefault="005D5DF0" w:rsidP="00B61243">
            <w:pPr>
              <w:widowControl w:val="0"/>
              <w:autoSpaceDE w:val="0"/>
              <w:autoSpaceDN w:val="0"/>
              <w:adjustRightInd w:val="0"/>
              <w:spacing w:after="240"/>
              <w:jc w:val="both"/>
              <w:rPr>
                <w:rFonts w:ascii="Times" w:hAnsi="Times" w:cs="Times"/>
                <w:color w:val="000000"/>
                <w:sz w:val="22"/>
                <w:szCs w:val="22"/>
              </w:rPr>
            </w:pPr>
            <w:r w:rsidRPr="004014C6">
              <w:rPr>
                <w:rFonts w:ascii="Times" w:hAnsi="Times" w:cs="Times"/>
                <w:b/>
                <w:color w:val="000000"/>
                <w:sz w:val="28"/>
                <w:szCs w:val="28"/>
                <w:u w:val="single"/>
              </w:rPr>
              <w:t>Practice 4: Encourage Peer-Assisted Learning Opportunities</w:t>
            </w:r>
            <w:r w:rsidRPr="00D73CA0">
              <w:rPr>
                <w:rFonts w:ascii="Times" w:hAnsi="Times" w:cs="Times"/>
                <w:b/>
                <w:color w:val="000000"/>
                <w:sz w:val="28"/>
                <w:szCs w:val="28"/>
              </w:rPr>
              <w:t xml:space="preserve"> </w:t>
            </w:r>
            <w:r w:rsidR="008A19AF" w:rsidRPr="00D73CA0">
              <w:rPr>
                <w:rFonts w:ascii="Times" w:eastAsia="Times New Roman" w:hAnsi="Times" w:cs="Times New Roman"/>
                <w:sz w:val="22"/>
                <w:szCs w:val="22"/>
              </w:rPr>
              <w:t xml:space="preserve">Structured peer-assisted learning </w:t>
            </w:r>
            <w:r w:rsidR="008A19AF" w:rsidRPr="00D73CA0">
              <w:rPr>
                <w:rFonts w:ascii="Times" w:hAnsi="Times" w:cs="Times"/>
                <w:color w:val="000000"/>
                <w:sz w:val="22"/>
                <w:szCs w:val="22"/>
              </w:rPr>
              <w:t>in pairs or cooperative groups of four to six students</w:t>
            </w:r>
            <w:r w:rsidR="008A19AF" w:rsidRPr="00D73CA0">
              <w:rPr>
                <w:rFonts w:ascii="Times" w:eastAsia="Times New Roman" w:hAnsi="Times" w:cs="Times New Roman"/>
                <w:sz w:val="22"/>
                <w:szCs w:val="22"/>
              </w:rPr>
              <w:t xml:space="preserve"> has been shown to be an effective strategy for </w:t>
            </w:r>
            <w:r w:rsidR="00C27B66" w:rsidRPr="00D73CA0">
              <w:rPr>
                <w:rFonts w:ascii="Times" w:eastAsia="Times New Roman" w:hAnsi="Times" w:cs="Times New Roman"/>
                <w:sz w:val="22"/>
                <w:szCs w:val="22"/>
              </w:rPr>
              <w:t xml:space="preserve">developing language and literacy skills in </w:t>
            </w:r>
            <w:r w:rsidR="008A19AF" w:rsidRPr="00D73CA0">
              <w:rPr>
                <w:rFonts w:ascii="Times" w:hAnsi="Times" w:cs="Times"/>
                <w:color w:val="000000"/>
                <w:sz w:val="22"/>
                <w:szCs w:val="22"/>
              </w:rPr>
              <w:t xml:space="preserve">elementary school-aged ELs (e.g. </w:t>
            </w:r>
            <w:proofErr w:type="spellStart"/>
            <w:r w:rsidR="008A19AF" w:rsidRPr="00D73CA0">
              <w:rPr>
                <w:rFonts w:ascii="Times" w:hAnsi="Times" w:cs="Times"/>
                <w:color w:val="000000"/>
                <w:sz w:val="22"/>
                <w:szCs w:val="22"/>
              </w:rPr>
              <w:t>Calderón</w:t>
            </w:r>
            <w:proofErr w:type="spellEnd"/>
            <w:r w:rsidR="008A19AF" w:rsidRPr="00D73CA0">
              <w:rPr>
                <w:rFonts w:ascii="Times" w:hAnsi="Times" w:cs="Times"/>
                <w:color w:val="000000"/>
                <w:sz w:val="22"/>
                <w:szCs w:val="22"/>
              </w:rPr>
              <w:t xml:space="preserve"> et al., 1998; Calhoun et al., 2007; McMaster et al., 2008; </w:t>
            </w:r>
            <w:proofErr w:type="spellStart"/>
            <w:r w:rsidR="008A19AF" w:rsidRPr="00D73CA0">
              <w:rPr>
                <w:rFonts w:ascii="Times" w:hAnsi="Times" w:cs="Times"/>
                <w:color w:val="000000"/>
                <w:sz w:val="22"/>
                <w:szCs w:val="22"/>
              </w:rPr>
              <w:t>Ryoo</w:t>
            </w:r>
            <w:proofErr w:type="spellEnd"/>
            <w:r w:rsidR="008A19AF" w:rsidRPr="00D73CA0">
              <w:rPr>
                <w:rFonts w:ascii="Times" w:hAnsi="Times" w:cs="Times"/>
                <w:color w:val="000000"/>
                <w:sz w:val="22"/>
                <w:szCs w:val="22"/>
              </w:rPr>
              <w:t xml:space="preserve">, 2009; </w:t>
            </w:r>
            <w:proofErr w:type="spellStart"/>
            <w:r w:rsidR="008A19AF" w:rsidRPr="00D73CA0">
              <w:rPr>
                <w:rFonts w:ascii="Times" w:hAnsi="Times" w:cs="Times"/>
                <w:color w:val="000000"/>
                <w:sz w:val="22"/>
                <w:szCs w:val="22"/>
              </w:rPr>
              <w:t>Sáenz</w:t>
            </w:r>
            <w:proofErr w:type="spellEnd"/>
            <w:r w:rsidR="008A19AF" w:rsidRPr="00D73CA0">
              <w:rPr>
                <w:rFonts w:ascii="Times" w:hAnsi="Times" w:cs="Times"/>
                <w:color w:val="000000"/>
                <w:sz w:val="22"/>
                <w:szCs w:val="22"/>
              </w:rPr>
              <w:t xml:space="preserve"> et al., 2005)</w:t>
            </w:r>
            <w:r w:rsidR="00C27B66" w:rsidRPr="00D73CA0">
              <w:rPr>
                <w:rFonts w:ascii="Times" w:hAnsi="Times" w:cs="Times"/>
                <w:color w:val="000000"/>
                <w:sz w:val="22"/>
                <w:szCs w:val="22"/>
              </w:rPr>
              <w:t>.</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D47E" w14:textId="1B4803C8" w:rsidR="005D5DF0" w:rsidRPr="008A19AF" w:rsidRDefault="005D5DF0" w:rsidP="00B61243">
            <w:pPr>
              <w:rPr>
                <w:rFonts w:ascii="Times" w:eastAsia="Times New Roman" w:hAnsi="Times" w:cs="Times New Roman"/>
                <w:sz w:val="22"/>
                <w:szCs w:val="22"/>
              </w:rPr>
            </w:pPr>
            <w:r w:rsidRPr="008A19AF">
              <w:rPr>
                <w:rFonts w:ascii="Times" w:eastAsia="Times New Roman" w:hAnsi="Times" w:cs="Times New Roman"/>
                <w:sz w:val="22"/>
                <w:szCs w:val="22"/>
              </w:rPr>
              <w:br/>
            </w:r>
            <w:r w:rsidRPr="008A19AF">
              <w:rPr>
                <w:rFonts w:ascii="Times" w:eastAsia="Times New Roman" w:hAnsi="Times" w:cs="Times New Roman"/>
                <w:sz w:val="22"/>
                <w:szCs w:val="22"/>
              </w:rPr>
              <w:br/>
            </w:r>
          </w:p>
        </w:tc>
      </w:tr>
      <w:tr w:rsidR="005D5DF0" w:rsidRPr="005334E8" w14:paraId="32B7190A" w14:textId="77777777" w:rsidTr="005B66D6">
        <w:trPr>
          <w:trHeight w:val="907"/>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016EC" w14:textId="731463BA" w:rsidR="005D5DF0" w:rsidRPr="0018364E" w:rsidRDefault="005D5DF0" w:rsidP="00D73CA0">
            <w:pPr>
              <w:widowControl w:val="0"/>
              <w:autoSpaceDE w:val="0"/>
              <w:autoSpaceDN w:val="0"/>
              <w:adjustRightInd w:val="0"/>
              <w:spacing w:after="240"/>
              <w:rPr>
                <w:rFonts w:ascii="Times" w:hAnsi="Times" w:cs="Times"/>
                <w:b/>
                <w:color w:val="000000"/>
                <w:u w:val="single"/>
              </w:rPr>
            </w:pPr>
            <w:r w:rsidRPr="004014C6">
              <w:rPr>
                <w:rFonts w:ascii="Times" w:hAnsi="Times" w:cs="Times"/>
                <w:b/>
                <w:color w:val="000000"/>
                <w:sz w:val="28"/>
                <w:szCs w:val="28"/>
                <w:u w:val="single"/>
              </w:rPr>
              <w:t xml:space="preserve">Practice 5: Capitalize on Students’ Home Language, Knowledge, and Cultural Assets </w:t>
            </w:r>
            <w:r w:rsidRPr="0018364E">
              <w:rPr>
                <w:rFonts w:ascii="Times" w:hAnsi="Times" w:cs="Times"/>
                <w:color w:val="000000"/>
                <w:sz w:val="22"/>
                <w:szCs w:val="22"/>
              </w:rPr>
              <w:t>Children’s learning behaviors and responses to instruction, especially in the early years of schooling, are culturally influenced by the socialization practices of the home and family.</w:t>
            </w:r>
            <w:r w:rsidR="00AA04BD">
              <w:rPr>
                <w:rFonts w:ascii="Times" w:hAnsi="Times" w:cs="Times"/>
                <w:color w:val="000000"/>
                <w:sz w:val="22"/>
                <w:szCs w:val="22"/>
              </w:rPr>
              <w:t xml:space="preserve"> </w:t>
            </w:r>
            <w:r w:rsidR="00D73CA0">
              <w:rPr>
                <w:rFonts w:ascii="Times" w:hAnsi="Times" w:cs="Times"/>
                <w:color w:val="000000"/>
                <w:sz w:val="22"/>
                <w:szCs w:val="22"/>
              </w:rPr>
              <w:t xml:space="preserve"> </w:t>
            </w:r>
            <w:r w:rsidR="00AA04BD" w:rsidRPr="00D73CA0">
              <w:rPr>
                <w:rFonts w:ascii="Times" w:hAnsi="Times" w:cs="Times"/>
                <w:color w:val="000000"/>
                <w:sz w:val="22"/>
                <w:szCs w:val="22"/>
              </w:rPr>
              <w:t xml:space="preserve">Integrating </w:t>
            </w:r>
            <w:r w:rsidR="00367EC7" w:rsidRPr="00D73CA0">
              <w:rPr>
                <w:rFonts w:ascii="Times" w:hAnsi="Times" w:cs="Times"/>
                <w:color w:val="000000"/>
                <w:sz w:val="22"/>
                <w:szCs w:val="22"/>
              </w:rPr>
              <w:t xml:space="preserve">these </w:t>
            </w:r>
            <w:r w:rsidR="00AA04BD" w:rsidRPr="00D73CA0">
              <w:rPr>
                <w:rFonts w:ascii="Times" w:hAnsi="Times" w:cs="Times"/>
                <w:color w:val="000000"/>
                <w:sz w:val="22"/>
                <w:szCs w:val="22"/>
              </w:rPr>
              <w:t>experiences</w:t>
            </w:r>
            <w:r w:rsidR="00367EC7" w:rsidRPr="00D73CA0">
              <w:rPr>
                <w:rFonts w:ascii="Times" w:hAnsi="Times" w:cs="Times"/>
                <w:color w:val="000000"/>
                <w:sz w:val="22"/>
                <w:szCs w:val="22"/>
              </w:rPr>
              <w:t xml:space="preserve"> enhances teacher-student relationships and helps students make</w:t>
            </w:r>
            <w:r w:rsidR="00AA04BD" w:rsidRPr="00D73CA0">
              <w:rPr>
                <w:rFonts w:ascii="Times" w:hAnsi="Times" w:cs="Times"/>
                <w:color w:val="000000"/>
                <w:sz w:val="22"/>
                <w:szCs w:val="22"/>
              </w:rPr>
              <w:t xml:space="preserve"> connections to new learning.</w:t>
            </w:r>
            <w:r w:rsidR="00AA04BD">
              <w:rPr>
                <w:rFonts w:ascii="Times" w:hAnsi="Times" w:cs="Times"/>
                <w:color w:val="000000"/>
                <w:sz w:val="22"/>
                <w:szCs w:val="22"/>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C362C" w14:textId="77777777" w:rsidR="005D5DF0" w:rsidRPr="005334E8" w:rsidRDefault="005D5DF0" w:rsidP="00B61243">
            <w:pPr>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p>
        </w:tc>
      </w:tr>
      <w:tr w:rsidR="005D5DF0" w:rsidRPr="005334E8" w14:paraId="5CB0EBA9" w14:textId="77777777" w:rsidTr="005B66D6">
        <w:trPr>
          <w:trHeight w:val="2019"/>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8736B" w14:textId="7042D3EC" w:rsidR="005D5DF0" w:rsidRPr="0018364E" w:rsidRDefault="005D5DF0" w:rsidP="00D73CA0">
            <w:pPr>
              <w:widowControl w:val="0"/>
              <w:autoSpaceDE w:val="0"/>
              <w:autoSpaceDN w:val="0"/>
              <w:adjustRightInd w:val="0"/>
              <w:spacing w:after="240"/>
              <w:rPr>
                <w:rFonts w:ascii="Times" w:hAnsi="Times" w:cs="Times"/>
                <w:b/>
                <w:color w:val="000000"/>
                <w:sz w:val="22"/>
                <w:szCs w:val="22"/>
                <w:u w:val="single"/>
              </w:rPr>
            </w:pPr>
            <w:r w:rsidRPr="004014C6">
              <w:rPr>
                <w:rFonts w:ascii="Times" w:hAnsi="Times" w:cs="Times"/>
                <w:b/>
                <w:color w:val="000000"/>
                <w:sz w:val="28"/>
                <w:szCs w:val="28"/>
                <w:u w:val="single"/>
              </w:rPr>
              <w:t xml:space="preserve">Practice 6: Screen for Language and Literacy Challenges and Monitor Progress </w:t>
            </w:r>
            <w:r w:rsidRPr="0018364E">
              <w:rPr>
                <w:rFonts w:ascii="Times" w:hAnsi="Times" w:cs="Times"/>
                <w:color w:val="000000"/>
                <w:sz w:val="22"/>
                <w:szCs w:val="22"/>
              </w:rPr>
              <w:t xml:space="preserve">Findings (Baker et al., 2014; </w:t>
            </w:r>
            <w:proofErr w:type="spellStart"/>
            <w:r w:rsidRPr="0018364E">
              <w:rPr>
                <w:rFonts w:ascii="Times" w:hAnsi="Times" w:cs="Times"/>
                <w:color w:val="000000"/>
                <w:sz w:val="22"/>
                <w:szCs w:val="22"/>
              </w:rPr>
              <w:t>Gersten</w:t>
            </w:r>
            <w:proofErr w:type="spellEnd"/>
            <w:r w:rsidRPr="0018364E">
              <w:rPr>
                <w:rFonts w:ascii="Times" w:hAnsi="Times" w:cs="Times"/>
                <w:color w:val="000000"/>
                <w:sz w:val="22"/>
                <w:szCs w:val="22"/>
              </w:rPr>
              <w:t xml:space="preserve"> et al., 2007) </w:t>
            </w:r>
            <w:r w:rsidR="00AA04BD" w:rsidRPr="00D73CA0">
              <w:rPr>
                <w:rFonts w:ascii="Times" w:hAnsi="Times" w:cs="Times"/>
                <w:color w:val="000000"/>
                <w:sz w:val="22"/>
                <w:szCs w:val="22"/>
              </w:rPr>
              <w:t>strongly</w:t>
            </w:r>
            <w:r w:rsidR="00AA04BD">
              <w:rPr>
                <w:rFonts w:ascii="Times" w:hAnsi="Times" w:cs="Times"/>
                <w:color w:val="000000"/>
                <w:sz w:val="22"/>
                <w:szCs w:val="22"/>
              </w:rPr>
              <w:t xml:space="preserve"> suggest that </w:t>
            </w:r>
            <w:r w:rsidRPr="00D73CA0">
              <w:rPr>
                <w:rFonts w:ascii="Times" w:hAnsi="Times" w:cs="Times"/>
                <w:color w:val="000000"/>
                <w:sz w:val="22"/>
                <w:szCs w:val="22"/>
              </w:rPr>
              <w:t xml:space="preserve">districts </w:t>
            </w:r>
            <w:r w:rsidR="00AA04BD" w:rsidRPr="00D73CA0">
              <w:rPr>
                <w:rFonts w:ascii="Times" w:hAnsi="Times" w:cs="Times"/>
                <w:color w:val="000000"/>
                <w:sz w:val="22"/>
                <w:szCs w:val="22"/>
              </w:rPr>
              <w:t>should</w:t>
            </w:r>
            <w:r w:rsidR="00AA04BD">
              <w:rPr>
                <w:rFonts w:ascii="Times" w:hAnsi="Times" w:cs="Times"/>
                <w:color w:val="000000"/>
                <w:sz w:val="22"/>
                <w:szCs w:val="22"/>
              </w:rPr>
              <w:t xml:space="preserve"> “</w:t>
            </w:r>
            <w:r w:rsidRPr="0018364E">
              <w:rPr>
                <w:rFonts w:ascii="Times" w:hAnsi="Times" w:cs="Times"/>
                <w:color w:val="000000"/>
                <w:sz w:val="22"/>
                <w:szCs w:val="22"/>
              </w:rPr>
              <w:t>establish procedures for and provide training for schools to screen ELs for reading problems; consider collecting progress monitoring data more than three times a year for ELs at risk of reading problems; and use data from screening and progress monitoring assessments to make decisions about the instructional support ELs need to learn to read</w:t>
            </w:r>
            <w:r>
              <w:rPr>
                <w:rFonts w:ascii="Times" w:hAnsi="Times" w:cs="Times"/>
                <w:color w:val="000000"/>
                <w:sz w:val="22"/>
                <w:szCs w:val="22"/>
              </w:rPr>
              <w:t>.”</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A118" w14:textId="6CC2126A" w:rsidR="005D5DF0" w:rsidRPr="005334E8" w:rsidRDefault="005D5DF0" w:rsidP="00B61243">
            <w:pPr>
              <w:rPr>
                <w:rFonts w:ascii="Times" w:eastAsia="Times New Roman" w:hAnsi="Times" w:cs="Times New Roman"/>
                <w:sz w:val="20"/>
                <w:szCs w:val="20"/>
              </w:rPr>
            </w:pPr>
          </w:p>
        </w:tc>
      </w:tr>
      <w:tr w:rsidR="005D5DF0" w:rsidRPr="005334E8" w14:paraId="5C2656D9" w14:textId="77777777" w:rsidTr="005B66D6">
        <w:trPr>
          <w:trHeight w:val="995"/>
        </w:trPr>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D9959" w14:textId="068644BC" w:rsidR="005D5DF0" w:rsidRPr="0018364E" w:rsidRDefault="005D5DF0" w:rsidP="00D73CA0">
            <w:pPr>
              <w:widowControl w:val="0"/>
              <w:autoSpaceDE w:val="0"/>
              <w:autoSpaceDN w:val="0"/>
              <w:adjustRightInd w:val="0"/>
              <w:spacing w:after="240"/>
              <w:rPr>
                <w:rFonts w:ascii="Times" w:hAnsi="Times" w:cs="Times"/>
                <w:color w:val="000000"/>
                <w:sz w:val="22"/>
                <w:szCs w:val="22"/>
              </w:rPr>
            </w:pPr>
            <w:r w:rsidRPr="0018364E">
              <w:rPr>
                <w:rFonts w:ascii="Times" w:hAnsi="Times" w:cs="Times"/>
                <w:b/>
                <w:color w:val="000000"/>
                <w:u w:val="single"/>
              </w:rPr>
              <w:t xml:space="preserve">Practice 7: Provide Small-Group Support in Literacy and English Language Development for English Learners Who Need Additional Support </w:t>
            </w:r>
            <w:r w:rsidRPr="0018364E">
              <w:rPr>
                <w:rFonts w:ascii="Times" w:hAnsi="Times" w:cs="Times"/>
                <w:color w:val="000000"/>
                <w:sz w:val="22"/>
                <w:szCs w:val="22"/>
              </w:rPr>
              <w:t xml:space="preserve">Many studies of ELs in grades 1-5 support the use of small-group academic support </w:t>
            </w:r>
            <w:r w:rsidR="00D73CA0">
              <w:rPr>
                <w:rFonts w:ascii="Times" w:hAnsi="Times" w:cs="Times"/>
                <w:color w:val="000000"/>
                <w:sz w:val="22"/>
                <w:szCs w:val="22"/>
              </w:rPr>
              <w:t xml:space="preserve">(i.e., interventions) </w:t>
            </w:r>
            <w:r w:rsidRPr="0018364E">
              <w:rPr>
                <w:rFonts w:ascii="Times" w:hAnsi="Times" w:cs="Times"/>
                <w:color w:val="000000"/>
                <w:sz w:val="22"/>
                <w:szCs w:val="22"/>
              </w:rPr>
              <w:t>for ELs who require more time to develop pre-reading and reading skills, as well as in other areas of literacy and language development (e.g. Burns, 2011; Denton et al., 2004; Gunn et al., 2002; Nelson et al., 2011; Ransford-</w:t>
            </w:r>
            <w:proofErr w:type="spellStart"/>
            <w:r w:rsidRPr="0018364E">
              <w:rPr>
                <w:rFonts w:ascii="Times" w:hAnsi="Times" w:cs="Times"/>
                <w:color w:val="000000"/>
                <w:sz w:val="22"/>
                <w:szCs w:val="22"/>
              </w:rPr>
              <w:t>Kaldon</w:t>
            </w:r>
            <w:proofErr w:type="spellEnd"/>
            <w:r w:rsidRPr="0018364E">
              <w:rPr>
                <w:rFonts w:ascii="Times" w:hAnsi="Times" w:cs="Times"/>
                <w:color w:val="000000"/>
                <w:sz w:val="22"/>
                <w:szCs w:val="22"/>
              </w:rPr>
              <w:t xml:space="preserve"> et al., 2010; </w:t>
            </w:r>
            <w:proofErr w:type="spellStart"/>
            <w:r w:rsidRPr="0018364E">
              <w:rPr>
                <w:rFonts w:ascii="Times" w:hAnsi="Times" w:cs="Times"/>
                <w:color w:val="000000"/>
                <w:sz w:val="22"/>
                <w:szCs w:val="22"/>
              </w:rPr>
              <w:t>Sol</w:t>
            </w:r>
            <w:r>
              <w:rPr>
                <w:rFonts w:ascii="Times" w:hAnsi="Times" w:cs="Times"/>
                <w:color w:val="000000"/>
                <w:sz w:val="22"/>
                <w:szCs w:val="22"/>
              </w:rPr>
              <w:t>ari</w:t>
            </w:r>
            <w:proofErr w:type="spellEnd"/>
            <w:r>
              <w:rPr>
                <w:rFonts w:ascii="Times" w:hAnsi="Times" w:cs="Times"/>
                <w:color w:val="000000"/>
                <w:sz w:val="22"/>
                <w:szCs w:val="22"/>
              </w:rPr>
              <w:t xml:space="preserve"> and Gerber, 2008; Vaughn</w:t>
            </w:r>
            <w:r w:rsidR="008A7B8C">
              <w:rPr>
                <w:rFonts w:ascii="Times" w:hAnsi="Times" w:cs="Times"/>
                <w:color w:val="000000"/>
                <w:sz w:val="22"/>
                <w:szCs w:val="22"/>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0B4D6" w14:textId="77777777" w:rsidR="005D5DF0" w:rsidRPr="005334E8" w:rsidRDefault="005D5DF0" w:rsidP="00B61243">
            <w:pPr>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tc>
      </w:tr>
    </w:tbl>
    <w:p w14:paraId="529EF60F" w14:textId="3AAD8AA4" w:rsidR="005334E8" w:rsidRPr="005D5DF0" w:rsidRDefault="005334E8" w:rsidP="0018364E">
      <w:pPr>
        <w:tabs>
          <w:tab w:val="left" w:pos="987"/>
        </w:tabs>
        <w:rPr>
          <w:rFonts w:ascii="Times" w:eastAsia="Times New Roman" w:hAnsi="Times" w:cs="Times New Roman"/>
          <w:sz w:val="22"/>
          <w:szCs w:val="22"/>
        </w:rPr>
      </w:pPr>
    </w:p>
    <w:p w14:paraId="4BF2345A" w14:textId="21EC2727" w:rsidR="00DE0D6C" w:rsidRPr="006373B8" w:rsidRDefault="00B61243">
      <w:pPr>
        <w:rPr>
          <w:b/>
        </w:rPr>
      </w:pPr>
      <w:r>
        <w:rPr>
          <w:b/>
        </w:rPr>
        <w:t xml:space="preserve">Please rate the following practices as: </w:t>
      </w:r>
      <w:r w:rsidRPr="006373B8">
        <w:rPr>
          <w:b/>
        </w:rPr>
        <w:t>Firmly in place</w:t>
      </w:r>
      <w:r>
        <w:rPr>
          <w:b/>
        </w:rPr>
        <w:t xml:space="preserve"> (*)</w:t>
      </w:r>
      <w:r w:rsidRPr="006373B8">
        <w:rPr>
          <w:b/>
        </w:rPr>
        <w:t xml:space="preserve">, </w:t>
      </w:r>
      <w:r>
        <w:rPr>
          <w:b/>
        </w:rPr>
        <w:t>Partially in place (+), A</w:t>
      </w:r>
      <w:r w:rsidRPr="006373B8">
        <w:rPr>
          <w:b/>
        </w:rPr>
        <w:t>rea for growth</w:t>
      </w:r>
      <w:r>
        <w:rPr>
          <w:b/>
        </w:rPr>
        <w:t xml:space="preserve"> (-)</w:t>
      </w:r>
      <w:bookmarkStart w:id="0" w:name="_GoBack"/>
      <w:bookmarkEnd w:id="0"/>
    </w:p>
    <w:sectPr w:rsidR="00DE0D6C" w:rsidRPr="006373B8" w:rsidSect="001B2FB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30A7" w14:textId="77777777" w:rsidR="00B21177" w:rsidRDefault="00B21177" w:rsidP="00956ADD">
      <w:r>
        <w:separator/>
      </w:r>
    </w:p>
  </w:endnote>
  <w:endnote w:type="continuationSeparator" w:id="0">
    <w:p w14:paraId="61E922CA" w14:textId="77777777" w:rsidR="00B21177" w:rsidRDefault="00B21177" w:rsidP="009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52C" w14:textId="601FE7BE" w:rsidR="008A7B8C" w:rsidRDefault="008A7B8C" w:rsidP="00986E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C093" w14:textId="77777777" w:rsidR="00B21177" w:rsidRDefault="00B21177" w:rsidP="00956ADD">
      <w:r>
        <w:separator/>
      </w:r>
    </w:p>
  </w:footnote>
  <w:footnote w:type="continuationSeparator" w:id="0">
    <w:p w14:paraId="13B29B53" w14:textId="77777777" w:rsidR="00B21177" w:rsidRDefault="00B21177" w:rsidP="0095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F483" w14:textId="3D6ED64C" w:rsidR="008A7B8C" w:rsidRPr="001B2FB7" w:rsidRDefault="008A7B8C" w:rsidP="001B2FB7">
    <w:pPr>
      <w:widowControl w:val="0"/>
      <w:autoSpaceDE w:val="0"/>
      <w:autoSpaceDN w:val="0"/>
      <w:adjustRightInd w:val="0"/>
      <w:spacing w:line="280" w:lineRule="atLeast"/>
      <w:jc w:val="center"/>
      <w:rPr>
        <w:rFonts w:ascii="Times" w:hAnsi="Times" w:cs="Times"/>
        <w:b/>
        <w:color w:val="000000"/>
        <w:sz w:val="28"/>
        <w:szCs w:val="28"/>
      </w:rPr>
    </w:pPr>
    <w:r w:rsidRPr="001B2FB7">
      <w:rPr>
        <w:b/>
        <w:sz w:val="28"/>
        <w:szCs w:val="28"/>
      </w:rPr>
      <w:t>7 Effective Practices to Impact EL’s:</w:t>
    </w:r>
    <w:r w:rsidRPr="001B2FB7">
      <w:rPr>
        <w:rFonts w:ascii="Times" w:hAnsi="Times" w:cs="Times"/>
        <w:b/>
        <w:color w:val="000000"/>
        <w:sz w:val="28"/>
        <w:szCs w:val="28"/>
      </w:rPr>
      <w:t xml:space="preserve"> </w:t>
    </w:r>
    <w:r w:rsidRPr="001B2FB7">
      <w:rPr>
        <w:rFonts w:ascii="Times" w:hAnsi="Times" w:cs="Times"/>
        <w:b/>
        <w:noProof/>
        <w:color w:val="000000"/>
        <w:sz w:val="28"/>
        <w:szCs w:val="28"/>
      </w:rPr>
      <w:drawing>
        <wp:inline distT="0" distB="0" distL="0" distR="0" wp14:anchorId="50526925" wp14:editId="44678636">
          <wp:extent cx="550545" cy="1016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101600"/>
                  </a:xfrm>
                  <a:prstGeom prst="rect">
                    <a:avLst/>
                  </a:prstGeom>
                  <a:noFill/>
                  <a:ln>
                    <a:noFill/>
                  </a:ln>
                </pic:spPr>
              </pic:pic>
            </a:graphicData>
          </a:graphic>
        </wp:inline>
      </w:drawing>
    </w:r>
    <w:r w:rsidRPr="001B2FB7">
      <w:rPr>
        <w:rFonts w:ascii="Times" w:hAnsi="Times" w:cs="Times"/>
        <w:b/>
        <w:color w:val="000000"/>
        <w:sz w:val="28"/>
        <w:szCs w:val="28"/>
      </w:rPr>
      <w:t xml:space="preserve"> </w:t>
    </w:r>
    <w:r w:rsidRPr="001B2FB7">
      <w:rPr>
        <w:rFonts w:ascii="Times" w:hAnsi="Times" w:cs="Times"/>
        <w:b/>
        <w:noProof/>
        <w:color w:val="000000"/>
        <w:sz w:val="28"/>
        <w:szCs w:val="28"/>
      </w:rPr>
      <w:drawing>
        <wp:inline distT="0" distB="0" distL="0" distR="0" wp14:anchorId="04989F0A" wp14:editId="0311B2B7">
          <wp:extent cx="567055" cy="84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055" cy="84455"/>
                  </a:xfrm>
                  <a:prstGeom prst="rect">
                    <a:avLst/>
                  </a:prstGeom>
                  <a:noFill/>
                  <a:ln>
                    <a:noFill/>
                  </a:ln>
                </pic:spPr>
              </pic:pic>
            </a:graphicData>
          </a:graphic>
        </wp:inline>
      </w:drawing>
    </w:r>
    <w:r w:rsidRPr="001B2FB7">
      <w:rPr>
        <w:rFonts w:ascii="Times" w:hAnsi="Times" w:cs="Times"/>
        <w:b/>
        <w:color w:val="000000"/>
        <w:sz w:val="28"/>
        <w:szCs w:val="28"/>
      </w:rPr>
      <w:t xml:space="preserve"> </w:t>
    </w:r>
    <w:r w:rsidRPr="001B2FB7">
      <w:rPr>
        <w:rFonts w:ascii="Times" w:hAnsi="Times" w:cs="Times"/>
        <w:b/>
        <w:noProof/>
        <w:color w:val="000000"/>
        <w:sz w:val="28"/>
        <w:szCs w:val="28"/>
      </w:rPr>
      <w:drawing>
        <wp:inline distT="0" distB="0" distL="0" distR="0" wp14:anchorId="6E19FA01" wp14:editId="569A9B35">
          <wp:extent cx="7620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101600"/>
                  </a:xfrm>
                  <a:prstGeom prst="rect">
                    <a:avLst/>
                  </a:prstGeom>
                  <a:noFill/>
                  <a:ln>
                    <a:noFill/>
                  </a:ln>
                </pic:spPr>
              </pic:pic>
            </a:graphicData>
          </a:graphic>
        </wp:inline>
      </w:drawing>
    </w:r>
    <w:r w:rsidRPr="001B2FB7">
      <w:rPr>
        <w:rFonts w:ascii="Times" w:hAnsi="Times" w:cs="Times"/>
        <w:b/>
        <w:color w:val="000000"/>
        <w:sz w:val="28"/>
        <w:szCs w:val="28"/>
      </w:rPr>
      <w:t xml:space="preserve"> </w:t>
    </w:r>
    <w:r w:rsidRPr="001B2FB7">
      <w:rPr>
        <w:rFonts w:ascii="Times" w:hAnsi="Times" w:cs="Times"/>
        <w:b/>
        <w:noProof/>
        <w:color w:val="000000"/>
        <w:sz w:val="28"/>
        <w:szCs w:val="28"/>
      </w:rPr>
      <w:drawing>
        <wp:inline distT="0" distB="0" distL="0" distR="0" wp14:anchorId="7598DB1E" wp14:editId="72B8F3AA">
          <wp:extent cx="601345" cy="1098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09855"/>
                  </a:xfrm>
                  <a:prstGeom prst="rect">
                    <a:avLst/>
                  </a:prstGeom>
                  <a:noFill/>
                  <a:ln>
                    <a:noFill/>
                  </a:ln>
                </pic:spPr>
              </pic:pic>
            </a:graphicData>
          </a:graphic>
        </wp:inline>
      </w:drawing>
    </w:r>
    <w:r w:rsidRPr="001B2FB7">
      <w:rPr>
        <w:rFonts w:ascii="Times" w:hAnsi="Times" w:cs="Times"/>
        <w:b/>
        <w:color w:val="000000"/>
        <w:sz w:val="28"/>
        <w:szCs w:val="28"/>
      </w:rPr>
      <w:t xml:space="preserve"> </w:t>
    </w:r>
    <w:r w:rsidRPr="001B2FB7">
      <w:rPr>
        <w:rFonts w:ascii="Times" w:hAnsi="Times" w:cs="Times"/>
        <w:b/>
        <w:noProof/>
        <w:color w:val="000000"/>
        <w:sz w:val="28"/>
        <w:szCs w:val="28"/>
      </w:rPr>
      <w:drawing>
        <wp:inline distT="0" distB="0" distL="0" distR="0" wp14:anchorId="041AF754" wp14:editId="39309CBD">
          <wp:extent cx="541655"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655" cy="101600"/>
                  </a:xfrm>
                  <a:prstGeom prst="rect">
                    <a:avLst/>
                  </a:prstGeom>
                  <a:noFill/>
                  <a:ln>
                    <a:noFill/>
                  </a:ln>
                </pic:spPr>
              </pic:pic>
            </a:graphicData>
          </a:graphic>
        </wp:inline>
      </w:drawing>
    </w:r>
    <w:r w:rsidRPr="001B2FB7">
      <w:rPr>
        <w:rFonts w:ascii="Times" w:hAnsi="Times" w:cs="Times"/>
        <w:b/>
        <w:color w:val="000000"/>
        <w:sz w:val="28"/>
        <w:szCs w:val="28"/>
      </w:rPr>
      <w:t xml:space="preserve">  2017</w:t>
    </w:r>
  </w:p>
  <w:p w14:paraId="79644486" w14:textId="0D72183B" w:rsidR="008A7B8C" w:rsidRPr="001B2FB7" w:rsidRDefault="008A7B8C" w:rsidP="001B2FB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680"/>
    <w:multiLevelType w:val="multilevel"/>
    <w:tmpl w:val="22E8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727BB"/>
    <w:multiLevelType w:val="multilevel"/>
    <w:tmpl w:val="C3C87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4E8"/>
    <w:rsid w:val="000A5826"/>
    <w:rsid w:val="0018364E"/>
    <w:rsid w:val="001B2FB7"/>
    <w:rsid w:val="0022717C"/>
    <w:rsid w:val="00367EC7"/>
    <w:rsid w:val="00384BF4"/>
    <w:rsid w:val="004014C6"/>
    <w:rsid w:val="005334E8"/>
    <w:rsid w:val="005B66D6"/>
    <w:rsid w:val="005D5DF0"/>
    <w:rsid w:val="00620F66"/>
    <w:rsid w:val="006373B8"/>
    <w:rsid w:val="006556C4"/>
    <w:rsid w:val="008814C7"/>
    <w:rsid w:val="008952AB"/>
    <w:rsid w:val="008A19AF"/>
    <w:rsid w:val="008A7B8C"/>
    <w:rsid w:val="008D7687"/>
    <w:rsid w:val="00956ADD"/>
    <w:rsid w:val="00986EF0"/>
    <w:rsid w:val="009B01B2"/>
    <w:rsid w:val="00A667C5"/>
    <w:rsid w:val="00AA04BD"/>
    <w:rsid w:val="00B21177"/>
    <w:rsid w:val="00B61243"/>
    <w:rsid w:val="00C0757F"/>
    <w:rsid w:val="00C27B66"/>
    <w:rsid w:val="00C92152"/>
    <w:rsid w:val="00D73CA0"/>
    <w:rsid w:val="00D95947"/>
    <w:rsid w:val="00DE0D6C"/>
    <w:rsid w:val="00E8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11A4"/>
  <w14:defaultImageDpi w14:val="300"/>
  <w15:docId w15:val="{4521CA8D-B03C-F44E-B642-F874F293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4E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56ADD"/>
    <w:pPr>
      <w:tabs>
        <w:tab w:val="center" w:pos="4680"/>
        <w:tab w:val="right" w:pos="9360"/>
      </w:tabs>
    </w:pPr>
  </w:style>
  <w:style w:type="character" w:customStyle="1" w:styleId="HeaderChar">
    <w:name w:val="Header Char"/>
    <w:basedOn w:val="DefaultParagraphFont"/>
    <w:link w:val="Header"/>
    <w:uiPriority w:val="99"/>
    <w:rsid w:val="00956ADD"/>
  </w:style>
  <w:style w:type="paragraph" w:styleId="Footer">
    <w:name w:val="footer"/>
    <w:basedOn w:val="Normal"/>
    <w:link w:val="FooterChar"/>
    <w:uiPriority w:val="99"/>
    <w:unhideWhenUsed/>
    <w:rsid w:val="00956ADD"/>
    <w:pPr>
      <w:tabs>
        <w:tab w:val="center" w:pos="4680"/>
        <w:tab w:val="right" w:pos="9360"/>
      </w:tabs>
    </w:pPr>
  </w:style>
  <w:style w:type="character" w:customStyle="1" w:styleId="FooterChar">
    <w:name w:val="Footer Char"/>
    <w:basedOn w:val="DefaultParagraphFont"/>
    <w:link w:val="Footer"/>
    <w:uiPriority w:val="99"/>
    <w:rsid w:val="00956ADD"/>
  </w:style>
  <w:style w:type="paragraph" w:styleId="BalloonText">
    <w:name w:val="Balloon Text"/>
    <w:basedOn w:val="Normal"/>
    <w:link w:val="BalloonTextChar"/>
    <w:uiPriority w:val="99"/>
    <w:semiHidden/>
    <w:unhideWhenUsed/>
    <w:rsid w:val="005D5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D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1997">
      <w:bodyDiv w:val="1"/>
      <w:marLeft w:val="0"/>
      <w:marRight w:val="0"/>
      <w:marTop w:val="0"/>
      <w:marBottom w:val="0"/>
      <w:divBdr>
        <w:top w:val="none" w:sz="0" w:space="0" w:color="auto"/>
        <w:left w:val="none" w:sz="0" w:space="0" w:color="auto"/>
        <w:bottom w:val="none" w:sz="0" w:space="0" w:color="auto"/>
        <w:right w:val="none" w:sz="0" w:space="0" w:color="auto"/>
      </w:divBdr>
      <w:divsChild>
        <w:div w:id="235406246">
          <w:marLeft w:val="-108"/>
          <w:marRight w:val="0"/>
          <w:marTop w:val="0"/>
          <w:marBottom w:val="0"/>
          <w:divBdr>
            <w:top w:val="none" w:sz="0" w:space="0" w:color="auto"/>
            <w:left w:val="none" w:sz="0" w:space="0" w:color="auto"/>
            <w:bottom w:val="none" w:sz="0" w:space="0" w:color="auto"/>
            <w:right w:val="none" w:sz="0" w:space="0" w:color="auto"/>
          </w:divBdr>
        </w:div>
      </w:divsChild>
    </w:div>
    <w:div w:id="903026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11</cp:revision>
  <cp:lastPrinted>2018-10-14T17:45:00Z</cp:lastPrinted>
  <dcterms:created xsi:type="dcterms:W3CDTF">2018-04-12T05:49:00Z</dcterms:created>
  <dcterms:modified xsi:type="dcterms:W3CDTF">2018-10-14T18:04:00Z</dcterms:modified>
</cp:coreProperties>
</file>